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25B6" w:rsidRPr="006925B6" w:rsidRDefault="006925B6" w:rsidP="00F36B1A">
      <w:pPr>
        <w:ind w:right="-766"/>
        <w:jc w:val="center"/>
        <w:rPr>
          <w:lang w:val="lv-LV"/>
        </w:rPr>
      </w:pPr>
      <w:r w:rsidRPr="006925B6">
        <w:rPr>
          <w:lang w:val="lv-LV"/>
        </w:rPr>
        <w:t>Eiropas Sociālā fonda projekta Nr. 9.1.3.0/16/I/001</w:t>
      </w:r>
    </w:p>
    <w:p w:rsidR="006925B6" w:rsidRPr="006925B6" w:rsidRDefault="006925B6" w:rsidP="006925B6">
      <w:pPr>
        <w:ind w:right="-766"/>
        <w:jc w:val="center"/>
        <w:rPr>
          <w:lang w:val="lv-LV"/>
        </w:rPr>
      </w:pPr>
      <w:r w:rsidRPr="006925B6">
        <w:rPr>
          <w:lang w:val="lv-LV"/>
        </w:rPr>
        <w:t>"Resocializācijas sistēmas efektivitātes paaugstināšana"</w:t>
      </w:r>
    </w:p>
    <w:p w:rsidR="006925B6" w:rsidRPr="006925B6" w:rsidRDefault="006925B6" w:rsidP="006925B6">
      <w:pPr>
        <w:ind w:right="-766"/>
        <w:jc w:val="center"/>
        <w:rPr>
          <w:lang w:val="lv-LV"/>
        </w:rPr>
      </w:pPr>
      <w:r w:rsidRPr="006925B6">
        <w:rPr>
          <w:lang w:val="lv-LV"/>
        </w:rPr>
        <w:t>ietvaros</w:t>
      </w:r>
    </w:p>
    <w:p w:rsidR="006925B6" w:rsidRPr="006925B6" w:rsidRDefault="006925B6" w:rsidP="00F36B1A">
      <w:pPr>
        <w:ind w:right="-766"/>
        <w:jc w:val="center"/>
        <w:rPr>
          <w:lang w:val="lv-LV"/>
        </w:rPr>
      </w:pPr>
      <w:r w:rsidRPr="006925B6">
        <w:rPr>
          <w:lang w:val="lv-LV"/>
        </w:rPr>
        <w:t>Ieslodzījuma vietu pārvaldes</w:t>
      </w:r>
    </w:p>
    <w:p w:rsidR="006925B6" w:rsidRPr="006925B6" w:rsidRDefault="006925B6" w:rsidP="006925B6">
      <w:pPr>
        <w:ind w:right="-766"/>
        <w:jc w:val="center"/>
        <w:rPr>
          <w:lang w:val="lv-LV"/>
        </w:rPr>
      </w:pPr>
      <w:r w:rsidRPr="006925B6">
        <w:rPr>
          <w:lang w:val="lv-LV"/>
        </w:rPr>
        <w:t xml:space="preserve">iepirkuma </w:t>
      </w:r>
    </w:p>
    <w:p w:rsidR="006925B6" w:rsidRPr="006925B6" w:rsidRDefault="006925B6" w:rsidP="006925B6">
      <w:pPr>
        <w:ind w:right="-766"/>
        <w:jc w:val="center"/>
        <w:rPr>
          <w:lang w:val="lv-LV"/>
        </w:rPr>
      </w:pPr>
      <w:r w:rsidRPr="006925B6">
        <w:rPr>
          <w:lang w:val="lv-LV"/>
        </w:rPr>
        <w:t xml:space="preserve">(saskaņā ar Publisko iepirkumu likuma </w:t>
      </w:r>
      <w:proofErr w:type="gramStart"/>
      <w:r w:rsidRPr="006925B6">
        <w:rPr>
          <w:lang w:val="lv-LV"/>
        </w:rPr>
        <w:t>9.pantu</w:t>
      </w:r>
      <w:proofErr w:type="gramEnd"/>
      <w:r w:rsidRPr="006925B6">
        <w:rPr>
          <w:lang w:val="lv-LV"/>
        </w:rPr>
        <w:t>)</w:t>
      </w:r>
    </w:p>
    <w:p w:rsidR="006925B6" w:rsidRPr="006925B6" w:rsidRDefault="006925B6" w:rsidP="006925B6">
      <w:pPr>
        <w:ind w:right="-766"/>
        <w:jc w:val="center"/>
        <w:rPr>
          <w:lang w:val="lv-LV"/>
        </w:rPr>
      </w:pPr>
    </w:p>
    <w:p w:rsidR="006925B6" w:rsidRPr="006925B6" w:rsidRDefault="006925B6" w:rsidP="006925B6">
      <w:pPr>
        <w:ind w:right="-766"/>
        <w:jc w:val="center"/>
        <w:rPr>
          <w:lang w:val="lv-LV"/>
        </w:rPr>
      </w:pPr>
      <w:r w:rsidRPr="006925B6">
        <w:rPr>
          <w:lang w:val="lv-LV"/>
        </w:rPr>
        <w:t xml:space="preserve">"Pētījums par labās prakses popularizēšanas pasākumiem stereotipu mainīšanai par bijušajiem ieslodzītajiem, tajā skaitā komunikācijas stratēģijas un pasākuma plāna izstrāde" </w:t>
      </w:r>
    </w:p>
    <w:p w:rsidR="006925B6" w:rsidRPr="006925B6" w:rsidRDefault="006925B6" w:rsidP="006925B6">
      <w:pPr>
        <w:ind w:right="-766"/>
        <w:jc w:val="center"/>
        <w:rPr>
          <w:lang w:val="lv-LV"/>
        </w:rPr>
      </w:pPr>
      <w:r w:rsidRPr="006925B6">
        <w:rPr>
          <w:lang w:val="lv-LV"/>
        </w:rPr>
        <w:t>(iepirkuma identifikācijas numurs IeVP 2018/53/ESF)</w:t>
      </w:r>
    </w:p>
    <w:p w:rsidR="006925B6" w:rsidRPr="006925B6" w:rsidRDefault="006925B6" w:rsidP="006925B6">
      <w:pPr>
        <w:ind w:right="-766"/>
        <w:jc w:val="center"/>
        <w:rPr>
          <w:lang w:val="lv-LV"/>
        </w:rPr>
      </w:pPr>
    </w:p>
    <w:p w:rsidR="00B67C54" w:rsidRDefault="00B67C54" w:rsidP="00F36B1A">
      <w:pPr>
        <w:ind w:right="-766"/>
        <w:jc w:val="center"/>
        <w:rPr>
          <w:lang w:val="lv-LV"/>
        </w:rPr>
      </w:pPr>
      <w:r>
        <w:rPr>
          <w:lang w:val="lv-LV"/>
        </w:rPr>
        <w:t>Iepirkuma ziņojums</w:t>
      </w:r>
    </w:p>
    <w:p w:rsidR="00B67C54" w:rsidRDefault="00B67C54" w:rsidP="001127A1">
      <w:pPr>
        <w:ind w:right="-766"/>
        <w:rPr>
          <w:lang w:val="lv-LV"/>
        </w:rPr>
      </w:pPr>
      <w:r>
        <w:rPr>
          <w:lang w:val="lv-LV"/>
        </w:rPr>
        <w:t>Rīgā</w:t>
      </w:r>
      <w:r w:rsidR="00E62F9B">
        <w:rPr>
          <w:lang w:val="lv-LV"/>
        </w:rPr>
        <w:t>,</w:t>
      </w:r>
      <w:proofErr w:type="gramStart"/>
      <w:r>
        <w:rPr>
          <w:lang w:val="lv-LV"/>
        </w:rPr>
        <w:t xml:space="preserve">                                                                                  </w:t>
      </w:r>
      <w:r w:rsidR="00565544">
        <w:rPr>
          <w:lang w:val="lv-LV"/>
        </w:rPr>
        <w:t xml:space="preserve">              </w:t>
      </w:r>
      <w:r w:rsidR="00E322B7">
        <w:rPr>
          <w:lang w:val="lv-LV"/>
        </w:rPr>
        <w:t xml:space="preserve">    </w:t>
      </w:r>
      <w:proofErr w:type="gramEnd"/>
      <w:r>
        <w:rPr>
          <w:lang w:val="lv-LV"/>
        </w:rPr>
        <w:t>201</w:t>
      </w:r>
      <w:r w:rsidR="009403E1">
        <w:rPr>
          <w:lang w:val="lv-LV"/>
        </w:rPr>
        <w:t>8</w:t>
      </w:r>
      <w:r w:rsidR="00533037">
        <w:rPr>
          <w:lang w:val="lv-LV"/>
        </w:rPr>
        <w:t>.</w:t>
      </w:r>
      <w:r w:rsidR="00565544">
        <w:rPr>
          <w:lang w:val="lv-LV"/>
        </w:rPr>
        <w:t xml:space="preserve"> </w:t>
      </w:r>
      <w:r w:rsidR="00533037">
        <w:rPr>
          <w:lang w:val="lv-LV"/>
        </w:rPr>
        <w:t xml:space="preserve">gada </w:t>
      </w:r>
      <w:r w:rsidR="006925B6">
        <w:rPr>
          <w:lang w:val="lv-LV"/>
        </w:rPr>
        <w:t>1</w:t>
      </w:r>
      <w:r w:rsidR="006717CE">
        <w:rPr>
          <w:lang w:val="lv-LV"/>
        </w:rPr>
        <w:t>3</w:t>
      </w:r>
      <w:r w:rsidR="006925B6">
        <w:rPr>
          <w:lang w:val="lv-LV"/>
        </w:rPr>
        <w:t>.jūnijā</w:t>
      </w:r>
    </w:p>
    <w:p w:rsidR="00B67C54" w:rsidRDefault="00B67C54" w:rsidP="006717CE">
      <w:pPr>
        <w:ind w:right="-766"/>
        <w:jc w:val="both"/>
        <w:rPr>
          <w:lang w:val="lv-LV"/>
        </w:rPr>
      </w:pPr>
    </w:p>
    <w:p w:rsidR="00B67C54" w:rsidRDefault="00B67C54" w:rsidP="006717CE">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6717CE">
      <w:pPr>
        <w:ind w:right="-766"/>
        <w:jc w:val="both"/>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6925B6">
        <w:rPr>
          <w:bCs/>
          <w:lang w:val="lv-LV"/>
        </w:rPr>
        <w:t>53/ESF</w:t>
      </w:r>
    </w:p>
    <w:p w:rsidR="00615792" w:rsidRDefault="00B67C54" w:rsidP="006717CE">
      <w:pPr>
        <w:ind w:right="-1"/>
        <w:jc w:val="both"/>
        <w:rPr>
          <w:lang w:val="lv-LV"/>
        </w:rPr>
      </w:pPr>
      <w:r>
        <w:rPr>
          <w:b/>
          <w:lang w:val="lv-LV"/>
        </w:rPr>
        <w:t>Iepirkuma procedūras veids</w:t>
      </w:r>
      <w:r>
        <w:rPr>
          <w:lang w:val="lv-LV"/>
        </w:rPr>
        <w:t xml:space="preserve">: </w:t>
      </w:r>
      <w:r w:rsidR="00615792">
        <w:rPr>
          <w:lang w:val="lv-LV"/>
        </w:rPr>
        <w:t xml:space="preserve">iepirkums </w:t>
      </w:r>
      <w:r w:rsidR="00615792" w:rsidRPr="002B3E2C">
        <w:rPr>
          <w:lang w:val="lv-LV"/>
        </w:rPr>
        <w:t xml:space="preserve">Publisko iepirkumu likuma </w:t>
      </w:r>
      <w:r w:rsidR="00615792" w:rsidRPr="00BF464C">
        <w:rPr>
          <w:rFonts w:eastAsia="Calibri"/>
          <w:noProof/>
          <w:lang w:val="lv-LV"/>
        </w:rPr>
        <w:t>(turpmāk – Likums)</w:t>
      </w:r>
      <w:r w:rsidR="00615792">
        <w:rPr>
          <w:lang w:val="lv-LV"/>
        </w:rPr>
        <w:t xml:space="preserve"> 9. panta kārtībā.</w:t>
      </w:r>
    </w:p>
    <w:p w:rsidR="00FB233F" w:rsidRPr="00615792" w:rsidRDefault="00B67C54" w:rsidP="006717CE">
      <w:pPr>
        <w:ind w:right="-283"/>
        <w:jc w:val="both"/>
        <w:rPr>
          <w:lang w:val="lv-LV"/>
        </w:rPr>
      </w:pPr>
      <w:r w:rsidRPr="00615792">
        <w:rPr>
          <w:b/>
          <w:lang w:val="lv-LV"/>
        </w:rPr>
        <w:t>Iepirkuma priekšmets un īss tā apraksts:</w:t>
      </w:r>
      <w:r w:rsidRPr="00615792">
        <w:rPr>
          <w:lang w:val="lv-LV"/>
        </w:rPr>
        <w:t xml:space="preserve"> </w:t>
      </w:r>
      <w:r w:rsidR="006925B6" w:rsidRPr="006925B6">
        <w:rPr>
          <w:color w:val="000000"/>
          <w:lang w:val="de-DE"/>
        </w:rPr>
        <w:t>Iepirkuma priekšmets ir sabiedriskās domas pētījums un komunikācijas stratēģijas izstrāde. Iepirkums tiek veikts Eiropas Sociālā fonda projekta Nr.9.1.3.0/16/I/001 "Resocializācijas sistēmas efektivitātes paaugstināšana" ietvaros, nolūkā lai izvēlētos saimnieciski visizdevīgāko piedāvājumu un noslēgtu līgumu par iepirkuma priekšmetu. Pakalpojums sniedzams saskaņā ar tehnisko specifikāciju.</w:t>
      </w:r>
    </w:p>
    <w:p w:rsidR="00B67C54" w:rsidRDefault="00B67C54" w:rsidP="006717CE">
      <w:pPr>
        <w:ind w:right="-283"/>
        <w:jc w:val="both"/>
        <w:rPr>
          <w:lang w:val="lv-LV"/>
        </w:rPr>
      </w:pPr>
      <w:r>
        <w:rPr>
          <w:b/>
          <w:lang w:val="lv-LV"/>
        </w:rPr>
        <w:t xml:space="preserve">2. Datums, kad informatīvais paziņojums publicēts Iepirkumu uzraudzības biroja mājaslapā: </w:t>
      </w:r>
      <w:r>
        <w:rPr>
          <w:lang w:val="lv-LV"/>
        </w:rPr>
        <w:t>201</w:t>
      </w:r>
      <w:r w:rsidR="009403E1">
        <w:rPr>
          <w:lang w:val="lv-LV"/>
        </w:rPr>
        <w:t>8</w:t>
      </w:r>
      <w:r>
        <w:rPr>
          <w:lang w:val="lv-LV"/>
        </w:rPr>
        <w:t>.</w:t>
      </w:r>
      <w:r w:rsidR="00565544">
        <w:rPr>
          <w:lang w:val="lv-LV"/>
        </w:rPr>
        <w:t xml:space="preserve"> </w:t>
      </w:r>
      <w:r>
        <w:rPr>
          <w:lang w:val="lv-LV"/>
        </w:rPr>
        <w:t xml:space="preserve">gada </w:t>
      </w:r>
      <w:proofErr w:type="gramStart"/>
      <w:r w:rsidR="000443F6">
        <w:rPr>
          <w:lang w:val="lv-LV"/>
        </w:rPr>
        <w:t>3</w:t>
      </w:r>
      <w:r w:rsidR="00CE06F9">
        <w:rPr>
          <w:lang w:val="lv-LV"/>
        </w:rPr>
        <w:t>1</w:t>
      </w:r>
      <w:r w:rsidR="000443F6">
        <w:rPr>
          <w:lang w:val="lv-LV"/>
        </w:rPr>
        <w:t>.maijs</w:t>
      </w:r>
      <w:proofErr w:type="gramEnd"/>
    </w:p>
    <w:p w:rsidR="00096F94" w:rsidRDefault="001D39AB" w:rsidP="006717CE">
      <w:pPr>
        <w:ind w:right="-766"/>
        <w:jc w:val="both"/>
        <w:rPr>
          <w:b/>
          <w:lang w:val="lv-LV"/>
        </w:rPr>
      </w:pPr>
      <w:r w:rsidRPr="001D39AB">
        <w:rPr>
          <w:b/>
          <w:lang w:val="lv-LV"/>
        </w:rPr>
        <w:t xml:space="preserve">Piedāvājumu iesniegšanas termiņš: </w:t>
      </w:r>
      <w:r w:rsidRPr="001D39AB">
        <w:rPr>
          <w:lang w:val="lv-LV"/>
        </w:rPr>
        <w:t xml:space="preserve">2018. gada </w:t>
      </w:r>
      <w:proofErr w:type="gramStart"/>
      <w:r w:rsidRPr="001D39AB">
        <w:rPr>
          <w:lang w:val="lv-LV"/>
        </w:rPr>
        <w:t>11.jūnija</w:t>
      </w:r>
      <w:proofErr w:type="gramEnd"/>
      <w:r w:rsidRPr="001D39AB">
        <w:rPr>
          <w:lang w:val="lv-LV"/>
        </w:rPr>
        <w:t>, plkst.11.0</w:t>
      </w:r>
      <w:r w:rsidR="008A401D">
        <w:rPr>
          <w:lang w:val="lv-LV"/>
        </w:rPr>
        <w:t>0</w:t>
      </w:r>
      <w:r w:rsidRPr="001D39AB">
        <w:rPr>
          <w:lang w:val="lv-LV"/>
        </w:rPr>
        <w:t>.</w:t>
      </w:r>
    </w:p>
    <w:p w:rsidR="001D39AB" w:rsidRDefault="001D39AB" w:rsidP="006717CE">
      <w:pPr>
        <w:ind w:right="-766"/>
        <w:jc w:val="both"/>
        <w:rPr>
          <w:b/>
          <w:lang w:val="lv-LV"/>
        </w:rPr>
      </w:pPr>
      <w:r w:rsidRPr="001D39AB">
        <w:rPr>
          <w:b/>
          <w:lang w:val="lv-LV"/>
        </w:rPr>
        <w:t xml:space="preserve">Piedāvājumu atvēršanas vieta, datums un laiks: </w:t>
      </w:r>
      <w:r w:rsidRPr="001D39AB">
        <w:rPr>
          <w:lang w:val="lv-LV"/>
        </w:rPr>
        <w:t xml:space="preserve">Ieslodzījuma vietu pārvalde, Stabu ielā 89, Rīgā, LV-1009, </w:t>
      </w:r>
      <w:r w:rsidR="008A401D">
        <w:rPr>
          <w:lang w:val="lv-LV"/>
        </w:rPr>
        <w:t>622</w:t>
      </w:r>
      <w:r w:rsidRPr="001D39AB">
        <w:rPr>
          <w:lang w:val="lv-LV"/>
        </w:rPr>
        <w:t xml:space="preserve">.kabinetā, 2018. gada </w:t>
      </w:r>
      <w:proofErr w:type="gramStart"/>
      <w:r w:rsidR="008A401D">
        <w:rPr>
          <w:lang w:val="lv-LV"/>
        </w:rPr>
        <w:t>11.jūnijā</w:t>
      </w:r>
      <w:proofErr w:type="gramEnd"/>
      <w:r w:rsidRPr="001D39AB">
        <w:rPr>
          <w:lang w:val="lv-LV"/>
        </w:rPr>
        <w:t>, plkst.1</w:t>
      </w:r>
      <w:r w:rsidR="008A401D">
        <w:rPr>
          <w:lang w:val="lv-LV"/>
        </w:rPr>
        <w:t>1</w:t>
      </w:r>
      <w:r w:rsidRPr="001D39AB">
        <w:rPr>
          <w:lang w:val="lv-LV"/>
        </w:rPr>
        <w:t>.0</w:t>
      </w:r>
      <w:r w:rsidR="008A401D">
        <w:rPr>
          <w:lang w:val="lv-LV"/>
        </w:rPr>
        <w:t>5</w:t>
      </w:r>
      <w:r w:rsidRPr="001D39AB">
        <w:rPr>
          <w:lang w:val="lv-LV"/>
        </w:rPr>
        <w:t>.</w:t>
      </w:r>
    </w:p>
    <w:p w:rsidR="00565544" w:rsidRPr="00ED34CC" w:rsidRDefault="00565544" w:rsidP="006717CE">
      <w:pPr>
        <w:ind w:right="-766"/>
        <w:jc w:val="both"/>
        <w:rPr>
          <w:b/>
          <w:lang w:val="lv-LV"/>
        </w:rPr>
      </w:pPr>
      <w:r w:rsidRPr="00ED34CC">
        <w:rPr>
          <w:b/>
          <w:lang w:val="lv-LV"/>
        </w:rPr>
        <w:t>3. Iepirkumu komisija:</w:t>
      </w:r>
    </w:p>
    <w:p w:rsidR="00993913" w:rsidRPr="00430E13" w:rsidRDefault="00993913" w:rsidP="006717CE">
      <w:pPr>
        <w:ind w:right="-283"/>
        <w:jc w:val="both"/>
        <w:rPr>
          <w:rFonts w:eastAsiaTheme="minorHAnsi" w:cstheme="minorBidi"/>
          <w:b/>
          <w:noProof/>
          <w:lang w:val="lv-LV"/>
        </w:rPr>
      </w:pPr>
      <w:r w:rsidRPr="00430E13">
        <w:rPr>
          <w:rFonts w:eastAsiaTheme="minorHAnsi" w:cstheme="minorBidi"/>
          <w:b/>
          <w:noProof/>
          <w:lang w:val="lv-LV"/>
        </w:rPr>
        <w:t xml:space="preserve">Iepirkumu komisijas priekšsēdētāja: </w:t>
      </w:r>
      <w:r w:rsidR="00CE06F9" w:rsidRPr="00256E26">
        <w:rPr>
          <w:lang w:val="lv-LV"/>
        </w:rPr>
        <w:t>Eiropas Sociālā fonda projekta Nr.9.1.2.0/16/I/001 "Bijušo ieslodzīto integrācija sabiedrībā un darba tirgū" un projekta Nr.9.1.3.0/16/I/001 "Resocializācijas sistēmas efektivitātes paaugstināšana" vadītājs Māris Luste</w:t>
      </w:r>
    </w:p>
    <w:p w:rsidR="009403E1" w:rsidRPr="009403E1" w:rsidRDefault="009403E1" w:rsidP="006717CE">
      <w:pPr>
        <w:ind w:right="-283"/>
        <w:jc w:val="both"/>
        <w:rPr>
          <w:rFonts w:eastAsiaTheme="minorHAnsi" w:cstheme="minorBidi"/>
          <w:b/>
          <w:noProof/>
          <w:lang w:val="lv-LV"/>
        </w:rPr>
      </w:pPr>
      <w:r w:rsidRPr="009403E1">
        <w:rPr>
          <w:b/>
          <w:lang w:val="lv-LV"/>
        </w:rPr>
        <w:t>Iepirkumu komisijas priekšsēdētāja vietniece:</w:t>
      </w:r>
      <w:proofErr w:type="gramStart"/>
      <w:r w:rsidRPr="009403E1">
        <w:rPr>
          <w:lang w:val="lv-LV"/>
        </w:rPr>
        <w:t xml:space="preserve">  </w:t>
      </w:r>
      <w:proofErr w:type="gramEnd"/>
      <w:r w:rsidR="00CE06F9" w:rsidRPr="000351AD">
        <w:rPr>
          <w:lang w:val="lv-LV"/>
        </w:rPr>
        <w:t>Pārvaldes centrālā aparāta Finanšu vadības un kontroles daļas vadītāja majore Inesa Mališeva</w:t>
      </w:r>
    </w:p>
    <w:p w:rsidR="009403E1" w:rsidRPr="009403E1" w:rsidRDefault="009403E1" w:rsidP="006717CE">
      <w:pPr>
        <w:jc w:val="both"/>
        <w:rPr>
          <w:rFonts w:eastAsiaTheme="minorHAnsi" w:cstheme="minorBidi"/>
          <w:b/>
          <w:noProof/>
          <w:lang w:val="lv-LV"/>
        </w:rPr>
      </w:pPr>
      <w:r w:rsidRPr="009403E1">
        <w:rPr>
          <w:rFonts w:eastAsiaTheme="minorHAnsi" w:cstheme="minorBidi"/>
          <w:b/>
          <w:noProof/>
          <w:lang w:val="de-DE"/>
        </w:rPr>
        <w:t>Iepirkumu k</w:t>
      </w:r>
      <w:r w:rsidRPr="009403E1">
        <w:rPr>
          <w:rFonts w:eastAsiaTheme="minorHAnsi" w:cstheme="minorBidi"/>
          <w:b/>
          <w:noProof/>
          <w:lang w:val="lv-LV"/>
        </w:rPr>
        <w:t>omisijas locekļi:</w:t>
      </w:r>
    </w:p>
    <w:p w:rsidR="00CE06F9" w:rsidRPr="00CE06F9" w:rsidRDefault="00CE06F9" w:rsidP="006717CE">
      <w:pPr>
        <w:ind w:right="-283"/>
        <w:jc w:val="both"/>
        <w:rPr>
          <w:rFonts w:eastAsia="Calibri"/>
          <w:noProof/>
          <w:lang w:val="de-DE"/>
        </w:rPr>
      </w:pPr>
      <w:r w:rsidRPr="00CE06F9">
        <w:rPr>
          <w:rFonts w:eastAsia="Calibri"/>
          <w:noProof/>
          <w:lang w:val="de-DE"/>
        </w:rPr>
        <w:t>Eiropas Sociālā fonda projekta Nr.9.1.3.0/16/I/001 "Resocializācijas sistēmas efektivitātes paaugstināšana" Mācību sistēmas pilnveidošanas bloka vadītāja Daina Vanaga;</w:t>
      </w:r>
    </w:p>
    <w:p w:rsidR="00CE06F9" w:rsidRDefault="00CE06F9" w:rsidP="006717CE">
      <w:pPr>
        <w:ind w:right="-283"/>
        <w:jc w:val="both"/>
        <w:rPr>
          <w:rFonts w:eastAsia="Calibri"/>
          <w:noProof/>
          <w:lang w:val="de-DE"/>
        </w:rPr>
      </w:pPr>
      <w:bookmarkStart w:id="0" w:name="_Hlk519520131"/>
      <w:r w:rsidRPr="00CE06F9">
        <w:rPr>
          <w:rFonts w:eastAsia="Calibri"/>
          <w:noProof/>
          <w:lang w:val="de-DE"/>
        </w:rPr>
        <w:t>Eiropas Sociālā fonda projekta Nr.9.1.2.0/16/I/001 "Bijušo ieslodzīto integrācija sabiedrībā un darba tirgū" un projekta Nr.9.1.3.0/16/I/001 "Resocializācijas sistēmas efektivitātes paaugstināšana" juriste Aiga Graudiņa;</w:t>
      </w:r>
    </w:p>
    <w:p w:rsidR="00F36B1A" w:rsidRPr="00F36B1A" w:rsidRDefault="00F36B1A" w:rsidP="00F36B1A">
      <w:pPr>
        <w:ind w:right="-1"/>
        <w:rPr>
          <w:rFonts w:eastAsia="Calibri"/>
          <w:noProof/>
          <w:highlight w:val="yellow"/>
          <w:lang w:val="de-DE"/>
        </w:rPr>
      </w:pPr>
      <w:r w:rsidRPr="00256E26">
        <w:rPr>
          <w:lang w:val="lv-LV"/>
        </w:rPr>
        <w:t>Eiropas Sociālā fonda projekta Nr.9.1.2.0/16/I/001 "Bijušo ieslodzīto integrācija sabiedrībā un darba tirgū" un projekta Nr.9.1.3.0/16/I/001 "Resocializācijas sistēmas efektivitātes paaugstināšana" juriste Una Asariņa.</w:t>
      </w:r>
    </w:p>
    <w:bookmarkEnd w:id="0"/>
    <w:p w:rsidR="00B67C54" w:rsidRDefault="00565544" w:rsidP="006717CE">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w:t>
      </w:r>
      <w:r w:rsidR="00CE06F9">
        <w:rPr>
          <w:lang w:val="lv-LV"/>
        </w:rPr>
        <w:t>2</w:t>
      </w:r>
      <w:r w:rsidR="009403E1">
        <w:rPr>
          <w:lang w:val="lv-LV"/>
        </w:rPr>
        <w:t xml:space="preserve"> "</w:t>
      </w:r>
      <w:r w:rsidR="009403E1" w:rsidRPr="00E83756">
        <w:rPr>
          <w:lang w:val="lv-LV"/>
        </w:rPr>
        <w:t xml:space="preserve">Par </w:t>
      </w:r>
      <w:r w:rsidR="009403E1">
        <w:rPr>
          <w:lang w:val="lv-LV"/>
        </w:rPr>
        <w:t>iepirkumu komisijas izveidošanu"</w:t>
      </w:r>
      <w:r w:rsidR="00B67C54">
        <w:rPr>
          <w:lang w:val="lv-LV"/>
        </w:rPr>
        <w:t>.</w:t>
      </w:r>
    </w:p>
    <w:p w:rsidR="00F51744" w:rsidRPr="00D03843" w:rsidRDefault="00F51744" w:rsidP="006717CE">
      <w:pPr>
        <w:ind w:right="42"/>
        <w:jc w:val="both"/>
        <w:rPr>
          <w:b/>
          <w:u w:val="single"/>
          <w:lang w:val="de-DE"/>
        </w:rPr>
      </w:pPr>
      <w:r>
        <w:rPr>
          <w:b/>
          <w:u w:val="single"/>
          <w:lang w:val="de-DE"/>
        </w:rPr>
        <w:t>Sagatavoja</w:t>
      </w:r>
      <w:r w:rsidRPr="00D03843">
        <w:rPr>
          <w:b/>
          <w:u w:val="single"/>
          <w:lang w:val="de-DE"/>
        </w:rPr>
        <w:t>:</w:t>
      </w:r>
    </w:p>
    <w:p w:rsidR="00CE06F9" w:rsidRDefault="00CE06F9" w:rsidP="006717CE">
      <w:pPr>
        <w:ind w:right="-283"/>
        <w:jc w:val="both"/>
        <w:rPr>
          <w:rFonts w:eastAsia="Calibri"/>
          <w:noProof/>
          <w:lang w:val="de-DE"/>
        </w:rPr>
        <w:sectPr w:rsidR="00CE06F9" w:rsidSect="00E93898">
          <w:headerReference w:type="default" r:id="rId8"/>
          <w:footerReference w:type="default" r:id="rId9"/>
          <w:headerReference w:type="first" r:id="rId10"/>
          <w:footerReference w:type="first" r:id="rId11"/>
          <w:pgSz w:w="11906" w:h="16838"/>
          <w:pgMar w:top="1134" w:right="1416" w:bottom="992" w:left="1701" w:header="709" w:footer="709" w:gutter="0"/>
          <w:cols w:space="708"/>
          <w:titlePg/>
          <w:docGrid w:linePitch="360"/>
        </w:sectPr>
      </w:pPr>
      <w:r w:rsidRPr="00CE06F9">
        <w:rPr>
          <w:rFonts w:eastAsia="Calibri"/>
          <w:noProof/>
          <w:lang w:val="de-DE"/>
        </w:rPr>
        <w:t>Eiropas Sociālā fonda projekta Nr.9.1.2.0/16/I/001 "Bijušo ieslodzīto integrācija sabiedrībā un darba tirgū" un projekta Nr.9.1.3.0/16/I/001 "Resocializācijas sistēmas efektivitātes paaugstināšana" juriste Aiga Graudiņa</w:t>
      </w:r>
    </w:p>
    <w:p w:rsidR="00CE06F9" w:rsidRDefault="00CE06F9" w:rsidP="00CE06F9">
      <w:pPr>
        <w:ind w:right="-283"/>
        <w:jc w:val="both"/>
        <w:rPr>
          <w:rFonts w:eastAsia="Calibri"/>
          <w:noProof/>
          <w:lang w:val="de-DE"/>
        </w:rPr>
      </w:pPr>
    </w:p>
    <w:p w:rsidR="002E5C1C" w:rsidRPr="00F51744" w:rsidRDefault="002E5C1C" w:rsidP="001127A1">
      <w:pPr>
        <w:ind w:right="-766"/>
        <w:rPr>
          <w:b/>
          <w:lang w:val="de-DE"/>
        </w:rPr>
      </w:pPr>
    </w:p>
    <w:p w:rsidR="00B67C54" w:rsidRDefault="00B67C54" w:rsidP="009403E1">
      <w:pPr>
        <w:ind w:right="-283"/>
        <w:jc w:val="both"/>
        <w:rPr>
          <w:b/>
          <w:lang w:val="lv-LV"/>
        </w:rPr>
      </w:pPr>
      <w:r>
        <w:rPr>
          <w:b/>
          <w:lang w:val="lv-LV"/>
        </w:rPr>
        <w:t>4. Pretendentiem noteiktās kvalifikācijas prasība</w:t>
      </w:r>
      <w:r w:rsidR="00BE43ED">
        <w:rPr>
          <w:b/>
          <w:lang w:val="lv-LV"/>
        </w:rPr>
        <w:t xml:space="preserve">s, saskaņā ar iepirkuma </w:t>
      </w:r>
      <w:r w:rsidR="00620D36">
        <w:rPr>
          <w:b/>
          <w:lang w:val="lv-LV"/>
        </w:rPr>
        <w:t xml:space="preserve">IeVP </w:t>
      </w:r>
      <w:r>
        <w:rPr>
          <w:b/>
          <w:lang w:val="lv-LV"/>
        </w:rPr>
        <w:t>201</w:t>
      </w:r>
      <w:r w:rsidR="009403E1">
        <w:rPr>
          <w:b/>
          <w:lang w:val="lv-LV"/>
        </w:rPr>
        <w:t>8</w:t>
      </w:r>
      <w:r>
        <w:rPr>
          <w:b/>
          <w:lang w:val="lv-LV"/>
        </w:rPr>
        <w:t>/</w:t>
      </w:r>
      <w:r w:rsidR="00CE06F9">
        <w:rPr>
          <w:b/>
          <w:lang w:val="lv-LV"/>
        </w:rPr>
        <w:t>53/ESF</w:t>
      </w:r>
      <w:r>
        <w:rPr>
          <w:b/>
          <w:lang w:val="lv-LV"/>
        </w:rPr>
        <w:t xml:space="preserve"> nolikumā </w:t>
      </w:r>
      <w:r w:rsidR="00E056F3">
        <w:rPr>
          <w:b/>
          <w:lang w:val="lv-LV"/>
        </w:rPr>
        <w:t xml:space="preserve">(turpmāk – Nolikums) </w:t>
      </w:r>
      <w:r>
        <w:rPr>
          <w:b/>
          <w:lang w:val="lv-LV"/>
        </w:rPr>
        <w:t>noteiktām prasībām:</w:t>
      </w:r>
      <w:r w:rsidRPr="006916F3">
        <w:rPr>
          <w:b/>
          <w:lang w:val="lv-LV"/>
        </w:rPr>
        <w:t xml:space="preserve"> </w:t>
      </w:r>
    </w:p>
    <w:p w:rsidR="00CE06F9" w:rsidRPr="00CB326B" w:rsidRDefault="00CE06F9" w:rsidP="00CE06F9">
      <w:pPr>
        <w:numPr>
          <w:ilvl w:val="0"/>
          <w:numId w:val="9"/>
        </w:numPr>
        <w:spacing w:after="160" w:line="259" w:lineRule="auto"/>
        <w:contextualSpacing/>
        <w:jc w:val="right"/>
        <w:rPr>
          <w:rFonts w:eastAsia="Calibri"/>
          <w:lang w:val="lv-LV"/>
        </w:rPr>
      </w:pPr>
      <w:r w:rsidRPr="00CB326B">
        <w:rPr>
          <w:rFonts w:eastAsia="Calibri"/>
          <w:lang w:val="lv-LV"/>
        </w:rPr>
        <w:t>tabula</w:t>
      </w: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1985"/>
        <w:gridCol w:w="2410"/>
        <w:gridCol w:w="2551"/>
        <w:gridCol w:w="2175"/>
      </w:tblGrid>
      <w:tr w:rsidR="00CE06F9" w:rsidRPr="00CB326B" w:rsidTr="00CE06F9">
        <w:trPr>
          <w:trHeight w:val="757"/>
        </w:trPr>
        <w:tc>
          <w:tcPr>
            <w:tcW w:w="5665" w:type="dxa"/>
            <w:shd w:val="clear" w:color="auto" w:fill="auto"/>
            <w:vAlign w:val="center"/>
          </w:tcPr>
          <w:p w:rsidR="00CE06F9" w:rsidRPr="00CB326B" w:rsidRDefault="00CE06F9" w:rsidP="00C956F6">
            <w:pPr>
              <w:ind w:right="-17"/>
              <w:jc w:val="center"/>
              <w:rPr>
                <w:b/>
                <w:lang w:val="lv-LV" w:eastAsia="lv-LV"/>
              </w:rPr>
            </w:pPr>
            <w:r w:rsidRPr="00CB326B">
              <w:rPr>
                <w:b/>
                <w:lang w:val="lv-LV" w:eastAsia="lv-LV"/>
              </w:rPr>
              <w:t>Pretendentam jābūt šādai pieredzei un profesionālajām spējām:</w:t>
            </w:r>
          </w:p>
        </w:tc>
        <w:tc>
          <w:tcPr>
            <w:tcW w:w="1985" w:type="dxa"/>
            <w:vAlign w:val="center"/>
          </w:tcPr>
          <w:p w:rsidR="00CE06F9" w:rsidRPr="00CB326B" w:rsidRDefault="00CE06F9" w:rsidP="00C956F6">
            <w:pPr>
              <w:ind w:right="-17"/>
              <w:rPr>
                <w:lang w:val="lv-LV" w:eastAsia="lv-LV"/>
              </w:rPr>
            </w:pPr>
            <w:r w:rsidRPr="00CB326B">
              <w:rPr>
                <w:b/>
                <w:lang w:val="lv-LV" w:eastAsia="lv-LV"/>
              </w:rPr>
              <w:t>Pretendentam jāiesniedz šādi dokumenti un jānorāda informācija:</w:t>
            </w:r>
          </w:p>
        </w:tc>
        <w:tc>
          <w:tcPr>
            <w:tcW w:w="2410" w:type="dxa"/>
            <w:vAlign w:val="center"/>
          </w:tcPr>
          <w:p w:rsidR="00CE06F9" w:rsidRPr="00CB326B" w:rsidRDefault="00CE06F9" w:rsidP="00C956F6">
            <w:pPr>
              <w:ind w:right="-17"/>
              <w:jc w:val="center"/>
              <w:rPr>
                <w:b/>
                <w:lang w:val="lv-LV" w:eastAsia="lv-LV"/>
              </w:rPr>
            </w:pPr>
            <w:r w:rsidRPr="0086180F">
              <w:rPr>
                <w:lang w:val="lv-LV"/>
              </w:rPr>
              <w:t xml:space="preserve">SIA </w:t>
            </w:r>
            <w:r w:rsidRPr="0086180F">
              <w:rPr>
                <w:shd w:val="clear" w:color="auto" w:fill="FFFFFF"/>
              </w:rPr>
              <w:t>"</w:t>
            </w:r>
            <w:proofErr w:type="spellStart"/>
            <w:r w:rsidRPr="0086180F">
              <w:rPr>
                <w:lang w:eastAsia="ru-RU"/>
              </w:rPr>
              <w:t>Comperio</w:t>
            </w:r>
            <w:proofErr w:type="spellEnd"/>
            <w:r w:rsidRPr="0086180F">
              <w:rPr>
                <w:shd w:val="clear" w:color="auto" w:fill="FFFFFF"/>
              </w:rPr>
              <w:t>"</w:t>
            </w:r>
          </w:p>
        </w:tc>
        <w:tc>
          <w:tcPr>
            <w:tcW w:w="2551" w:type="dxa"/>
            <w:vAlign w:val="center"/>
          </w:tcPr>
          <w:p w:rsidR="00CE06F9" w:rsidRPr="00CB326B" w:rsidRDefault="00CE06F9" w:rsidP="00C956F6">
            <w:pPr>
              <w:ind w:right="-17"/>
              <w:jc w:val="center"/>
              <w:rPr>
                <w:b/>
                <w:lang w:val="lv-LV" w:eastAsia="lv-LV"/>
              </w:rPr>
            </w:pPr>
            <w:r w:rsidRPr="0086180F">
              <w:rPr>
                <w:lang w:val="lv-LV"/>
              </w:rPr>
              <w:t xml:space="preserve">SIA </w:t>
            </w:r>
            <w:r w:rsidRPr="0086180F">
              <w:rPr>
                <w:shd w:val="clear" w:color="auto" w:fill="FFFFFF"/>
              </w:rPr>
              <w:t>"</w:t>
            </w:r>
            <w:r w:rsidRPr="0086180F">
              <w:rPr>
                <w:lang w:val="lv-LV"/>
              </w:rPr>
              <w:t xml:space="preserve">Berg </w:t>
            </w:r>
            <w:proofErr w:type="spellStart"/>
            <w:r w:rsidRPr="0086180F">
              <w:rPr>
                <w:lang w:val="lv-LV"/>
              </w:rPr>
              <w:t>Research</w:t>
            </w:r>
            <w:proofErr w:type="spellEnd"/>
            <w:r w:rsidRPr="0086180F">
              <w:rPr>
                <w:shd w:val="clear" w:color="auto" w:fill="FFFFFF"/>
              </w:rPr>
              <w:t>"</w:t>
            </w:r>
          </w:p>
        </w:tc>
        <w:tc>
          <w:tcPr>
            <w:tcW w:w="2175" w:type="dxa"/>
            <w:vAlign w:val="center"/>
          </w:tcPr>
          <w:p w:rsidR="00CE06F9" w:rsidRPr="00CB326B" w:rsidRDefault="00CE06F9" w:rsidP="00C956F6">
            <w:pPr>
              <w:ind w:right="-17"/>
              <w:jc w:val="center"/>
              <w:rPr>
                <w:b/>
                <w:lang w:val="lv-LV" w:eastAsia="lv-LV"/>
              </w:rPr>
            </w:pPr>
            <w:r w:rsidRPr="0086180F">
              <w:rPr>
                <w:lang w:val="lv-LV"/>
              </w:rPr>
              <w:t xml:space="preserve">SIA </w:t>
            </w:r>
            <w:r w:rsidRPr="0086180F">
              <w:rPr>
                <w:shd w:val="clear" w:color="auto" w:fill="FFFFFF"/>
              </w:rPr>
              <w:t>"</w:t>
            </w:r>
            <w:r w:rsidRPr="0086180F">
              <w:rPr>
                <w:lang w:val="lv-LV"/>
              </w:rPr>
              <w:t xml:space="preserve">Vīlands </w:t>
            </w:r>
            <w:proofErr w:type="spellStart"/>
            <w:r w:rsidRPr="0086180F">
              <w:rPr>
                <w:lang w:val="lv-LV"/>
              </w:rPr>
              <w:t>Associates</w:t>
            </w:r>
            <w:proofErr w:type="spellEnd"/>
            <w:r w:rsidRPr="0086180F">
              <w:rPr>
                <w:shd w:val="clear" w:color="auto" w:fill="FFFFFF"/>
              </w:rPr>
              <w:t>"</w:t>
            </w:r>
          </w:p>
        </w:tc>
      </w:tr>
      <w:tr w:rsidR="00CE06F9" w:rsidRPr="00CB326B" w:rsidTr="00CE06F9">
        <w:trPr>
          <w:trHeight w:val="1273"/>
        </w:trPr>
        <w:tc>
          <w:tcPr>
            <w:tcW w:w="5665" w:type="dxa"/>
            <w:shd w:val="clear" w:color="auto" w:fill="auto"/>
            <w:vAlign w:val="center"/>
          </w:tcPr>
          <w:p w:rsidR="00CE06F9" w:rsidRPr="00CB326B" w:rsidRDefault="00CE06F9" w:rsidP="00C956F6">
            <w:pPr>
              <w:ind w:right="-17"/>
              <w:rPr>
                <w:rFonts w:eastAsia="Calibri"/>
                <w:lang w:val="lv-LV"/>
              </w:rPr>
            </w:pPr>
            <w:r w:rsidRPr="00CB326B">
              <w:rPr>
                <w:rFonts w:eastAsia="Calibri"/>
                <w:b/>
                <w:lang w:val="lv-LV"/>
              </w:rPr>
              <w:t>4.1.</w:t>
            </w:r>
            <w:r w:rsidRPr="00CB326B">
              <w:rPr>
                <w:rFonts w:eastAsia="Calibri"/>
                <w:lang w:val="lv-LV"/>
              </w:rPr>
              <w:t xml:space="preserve"> Pretendents spēj nodrošināt profesionālus personāla resursus atbilstoši </w:t>
            </w:r>
            <w:r w:rsidRPr="00CB326B">
              <w:rPr>
                <w:rFonts w:eastAsia="Calibri"/>
                <w:i/>
                <w:lang w:val="lv-LV" w:eastAsia="lv-LV"/>
              </w:rPr>
              <w:t>"</w:t>
            </w:r>
            <w:r w:rsidRPr="00CB326B">
              <w:rPr>
                <w:rFonts w:eastAsia="Calibri"/>
                <w:i/>
                <w:lang w:val="lv-LV"/>
              </w:rPr>
              <w:t>Prasības pretendenta norādītajiem speciālistiem</w:t>
            </w:r>
            <w:r w:rsidRPr="00CB326B">
              <w:rPr>
                <w:rFonts w:eastAsia="Calibri"/>
                <w:i/>
                <w:lang w:val="lv-LV" w:eastAsia="lv-LV"/>
              </w:rPr>
              <w:t>"</w:t>
            </w:r>
            <w:r w:rsidRPr="00CB326B">
              <w:rPr>
                <w:rFonts w:eastAsia="Calibri"/>
                <w:lang w:val="lv-LV"/>
              </w:rPr>
              <w:t xml:space="preserve"> (skat. 2. tabulu). </w:t>
            </w:r>
          </w:p>
        </w:tc>
        <w:tc>
          <w:tcPr>
            <w:tcW w:w="1985" w:type="dxa"/>
            <w:shd w:val="clear" w:color="auto" w:fill="auto"/>
            <w:vAlign w:val="center"/>
          </w:tcPr>
          <w:p w:rsidR="00CE06F9" w:rsidRPr="00CB326B" w:rsidRDefault="00CE06F9" w:rsidP="00C956F6">
            <w:pPr>
              <w:ind w:right="-17"/>
              <w:rPr>
                <w:lang w:val="lv-LV" w:eastAsia="lv-LV"/>
              </w:rPr>
            </w:pPr>
            <w:r w:rsidRPr="00CB326B">
              <w:rPr>
                <w:i/>
                <w:lang w:val="lv-LV" w:eastAsia="lv-LV"/>
              </w:rPr>
              <w:t>“Pretendenta speciālistu saraksts”</w:t>
            </w:r>
            <w:r w:rsidRPr="00CB326B">
              <w:rPr>
                <w:lang w:val="lv-LV" w:eastAsia="lv-LV"/>
              </w:rPr>
              <w:t xml:space="preserve"> 2. pielikumā pievienotā forma.</w:t>
            </w:r>
          </w:p>
        </w:tc>
        <w:tc>
          <w:tcPr>
            <w:tcW w:w="2410" w:type="dxa"/>
            <w:vAlign w:val="center"/>
          </w:tcPr>
          <w:p w:rsidR="00CE06F9" w:rsidRPr="00CB326B" w:rsidRDefault="00CE06F9" w:rsidP="00C956F6">
            <w:pPr>
              <w:ind w:right="-17"/>
              <w:jc w:val="center"/>
              <w:rPr>
                <w:lang w:val="lv-LV" w:eastAsia="lv-LV"/>
              </w:rPr>
            </w:pPr>
            <w:r w:rsidRPr="00CB326B">
              <w:rPr>
                <w:lang w:val="lv-LV" w:eastAsia="lv-LV"/>
              </w:rPr>
              <w:t>Ir iesniegts/atbilst</w:t>
            </w:r>
          </w:p>
        </w:tc>
        <w:tc>
          <w:tcPr>
            <w:tcW w:w="2551" w:type="dxa"/>
            <w:vAlign w:val="center"/>
          </w:tcPr>
          <w:p w:rsidR="00CE06F9" w:rsidRDefault="00CE06F9" w:rsidP="00C956F6">
            <w:pPr>
              <w:ind w:right="-17"/>
              <w:jc w:val="center"/>
              <w:rPr>
                <w:lang w:val="lv-LV" w:eastAsia="lv-LV"/>
              </w:rPr>
            </w:pPr>
          </w:p>
          <w:p w:rsidR="00CE06F9" w:rsidRDefault="00CE06F9" w:rsidP="00C956F6">
            <w:pPr>
              <w:ind w:right="-17"/>
              <w:jc w:val="center"/>
              <w:rPr>
                <w:lang w:val="lv-LV" w:eastAsia="lv-LV"/>
              </w:rPr>
            </w:pPr>
            <w:r w:rsidRPr="00CB326B">
              <w:rPr>
                <w:lang w:val="lv-LV" w:eastAsia="lv-LV"/>
              </w:rPr>
              <w:t>Ir iesniegts/</w:t>
            </w:r>
            <w:r>
              <w:rPr>
                <w:lang w:val="lv-LV" w:eastAsia="lv-LV"/>
              </w:rPr>
              <w:t xml:space="preserve">daļēji </w:t>
            </w:r>
            <w:r w:rsidRPr="00CB326B">
              <w:rPr>
                <w:lang w:val="lv-LV" w:eastAsia="lv-LV"/>
              </w:rPr>
              <w:t>atbilst</w:t>
            </w:r>
          </w:p>
          <w:p w:rsidR="00CE06F9" w:rsidRPr="00CB326B" w:rsidRDefault="00CE06F9" w:rsidP="00C956F6">
            <w:pPr>
              <w:ind w:right="-17"/>
              <w:jc w:val="center"/>
              <w:rPr>
                <w:lang w:val="lv-LV" w:eastAsia="lv-LV"/>
              </w:rPr>
            </w:pPr>
          </w:p>
        </w:tc>
        <w:tc>
          <w:tcPr>
            <w:tcW w:w="2175" w:type="dxa"/>
            <w:vAlign w:val="center"/>
          </w:tcPr>
          <w:p w:rsidR="00CE06F9" w:rsidRPr="00CB326B" w:rsidRDefault="00CE06F9" w:rsidP="00C956F6">
            <w:pPr>
              <w:ind w:right="-17"/>
              <w:jc w:val="center"/>
              <w:rPr>
                <w:lang w:val="lv-LV" w:eastAsia="lv-LV"/>
              </w:rPr>
            </w:pPr>
            <w:r w:rsidRPr="00CB326B">
              <w:rPr>
                <w:lang w:val="lv-LV" w:eastAsia="lv-LV"/>
              </w:rPr>
              <w:t>Ir iesniegts/atbilst</w:t>
            </w:r>
          </w:p>
        </w:tc>
      </w:tr>
    </w:tbl>
    <w:p w:rsidR="00CE06F9" w:rsidRPr="00CB326B" w:rsidRDefault="00CE06F9" w:rsidP="00CE06F9">
      <w:pPr>
        <w:suppressAutoHyphens/>
        <w:rPr>
          <w:rFonts w:eastAsia="Calibri"/>
          <w:lang w:val="lv-LV"/>
        </w:rPr>
      </w:pPr>
      <w:r w:rsidRPr="00CB326B">
        <w:rPr>
          <w:rFonts w:eastAsia="Calibri"/>
          <w:lang w:val="lv-LV"/>
        </w:rPr>
        <w:t>Pretendents līguma izpildei spēj nodrošināt personālu, kas sastāv vismaz no šādiem speciālistiem ar atbilstošu kvalifikāciju un profesionālo pieredzi:</w:t>
      </w:r>
    </w:p>
    <w:p w:rsidR="00CE06F9" w:rsidRPr="00CB326B" w:rsidRDefault="00CE06F9" w:rsidP="00CE06F9">
      <w:pPr>
        <w:numPr>
          <w:ilvl w:val="0"/>
          <w:numId w:val="9"/>
        </w:numPr>
        <w:spacing w:after="160" w:line="259" w:lineRule="auto"/>
        <w:contextualSpacing/>
        <w:jc w:val="right"/>
        <w:rPr>
          <w:lang w:val="lv-LV" w:eastAsia="lv-LV"/>
        </w:rPr>
      </w:pPr>
      <w:r w:rsidRPr="00CB326B">
        <w:rPr>
          <w:lang w:val="lv-LV" w:eastAsia="lv-LV"/>
        </w:rPr>
        <w:t>tabula</w:t>
      </w:r>
    </w:p>
    <w:p w:rsidR="00CE06F9" w:rsidRPr="00CB326B" w:rsidRDefault="00CE06F9" w:rsidP="00CE06F9">
      <w:pPr>
        <w:ind w:left="360"/>
        <w:rPr>
          <w:i/>
          <w:lang w:val="lv-LV" w:eastAsia="lv-LV"/>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1985"/>
        <w:gridCol w:w="2410"/>
        <w:gridCol w:w="2409"/>
        <w:gridCol w:w="2317"/>
      </w:tblGrid>
      <w:tr w:rsidR="00CE06F9" w:rsidRPr="00CB326B" w:rsidTr="00CE06F9">
        <w:trPr>
          <w:trHeight w:val="3282"/>
        </w:trPr>
        <w:tc>
          <w:tcPr>
            <w:tcW w:w="5665" w:type="dxa"/>
            <w:shd w:val="clear" w:color="auto" w:fill="auto"/>
            <w:vAlign w:val="center"/>
          </w:tcPr>
          <w:p w:rsidR="00CE06F9" w:rsidRPr="00CB326B" w:rsidRDefault="00CE06F9" w:rsidP="00C956F6">
            <w:pPr>
              <w:ind w:right="-17"/>
              <w:jc w:val="center"/>
              <w:rPr>
                <w:b/>
                <w:lang w:val="lv-LV" w:eastAsia="lv-LV"/>
              </w:rPr>
            </w:pPr>
            <w:r w:rsidRPr="00CB326B">
              <w:rPr>
                <w:b/>
                <w:lang w:val="lv-LV" w:eastAsia="lv-LV"/>
              </w:rPr>
              <w:t>Prasības Pretendenta norādītajiem speciālistiem (izglītība, kvalifikācija un pieredze):</w:t>
            </w:r>
          </w:p>
          <w:p w:rsidR="00CE06F9" w:rsidRPr="00CB326B" w:rsidRDefault="00CE06F9" w:rsidP="00C956F6">
            <w:pPr>
              <w:ind w:right="-17"/>
              <w:jc w:val="center"/>
              <w:rPr>
                <w:lang w:val="lv-LV" w:eastAsia="lv-LV"/>
              </w:rPr>
            </w:pPr>
            <w:r w:rsidRPr="00CB326B">
              <w:rPr>
                <w:lang w:val="lv-LV" w:eastAsia="lv-LV"/>
              </w:rPr>
              <w:t>1 projekta vadītājs – stratēģiskais direktors</w:t>
            </w:r>
          </w:p>
          <w:p w:rsidR="00CE06F9" w:rsidRPr="00CB326B" w:rsidRDefault="00CE06F9" w:rsidP="00C956F6">
            <w:pPr>
              <w:ind w:right="-17"/>
              <w:jc w:val="center"/>
              <w:rPr>
                <w:lang w:val="lv-LV" w:eastAsia="lv-LV"/>
              </w:rPr>
            </w:pPr>
            <w:r w:rsidRPr="00CB326B">
              <w:rPr>
                <w:lang w:val="lv-LV" w:eastAsia="lv-LV"/>
              </w:rPr>
              <w:t>1 sabiedrisko attiecību speciālists</w:t>
            </w:r>
          </w:p>
          <w:p w:rsidR="00CE06F9" w:rsidRPr="00CB326B" w:rsidRDefault="00CE06F9" w:rsidP="00CE06F9">
            <w:pPr>
              <w:numPr>
                <w:ilvl w:val="0"/>
                <w:numId w:val="10"/>
              </w:numPr>
              <w:ind w:right="-17"/>
              <w:jc w:val="center"/>
              <w:rPr>
                <w:lang w:val="lv-LV" w:eastAsia="lv-LV"/>
              </w:rPr>
            </w:pPr>
            <w:r w:rsidRPr="00CB326B">
              <w:rPr>
                <w:lang w:val="lv-LV" w:eastAsia="lv-LV"/>
              </w:rPr>
              <w:t>vadošais pētnieks – pētījuma vadītājs</w:t>
            </w:r>
          </w:p>
          <w:p w:rsidR="00CE06F9" w:rsidRPr="00CB326B" w:rsidRDefault="00CE06F9" w:rsidP="00C956F6">
            <w:pPr>
              <w:ind w:right="-17"/>
              <w:jc w:val="center"/>
              <w:rPr>
                <w:lang w:val="lv-LV" w:eastAsia="lv-LV"/>
              </w:rPr>
            </w:pPr>
            <w:r w:rsidRPr="00CB326B">
              <w:rPr>
                <w:lang w:val="lv-LV" w:eastAsia="lv-LV"/>
              </w:rPr>
              <w:t>1 pētnieks</w:t>
            </w:r>
          </w:p>
          <w:p w:rsidR="00CE06F9" w:rsidRPr="00CB326B" w:rsidRDefault="00CE06F9" w:rsidP="00C956F6">
            <w:pPr>
              <w:ind w:right="-17"/>
              <w:rPr>
                <w:b/>
                <w:lang w:val="lv-LV" w:eastAsia="lv-LV"/>
              </w:rPr>
            </w:pPr>
            <w:r w:rsidRPr="00CB326B">
              <w:rPr>
                <w:b/>
                <w:sz w:val="22"/>
                <w:szCs w:val="22"/>
                <w:lang w:val="lv-LV" w:eastAsia="lv-LV"/>
              </w:rPr>
              <w:t>Viens un tas pats speciālists nevar ieņemt vairākas pozīcijas projekta īstenošanas komandā.</w:t>
            </w:r>
          </w:p>
          <w:p w:rsidR="00CE06F9" w:rsidRPr="00CB326B" w:rsidRDefault="00CE06F9" w:rsidP="00C956F6">
            <w:pPr>
              <w:ind w:right="-17"/>
              <w:jc w:val="center"/>
              <w:rPr>
                <w:lang w:val="lv-LV" w:eastAsia="lv-LV"/>
              </w:rPr>
            </w:pPr>
          </w:p>
        </w:tc>
        <w:tc>
          <w:tcPr>
            <w:tcW w:w="1985" w:type="dxa"/>
            <w:vAlign w:val="center"/>
          </w:tcPr>
          <w:p w:rsidR="00CE06F9" w:rsidRPr="00CB326B" w:rsidRDefault="00CE06F9" w:rsidP="00C956F6">
            <w:pPr>
              <w:ind w:right="-17"/>
              <w:jc w:val="center"/>
              <w:rPr>
                <w:b/>
                <w:lang w:val="lv-LV" w:eastAsia="lv-LV"/>
              </w:rPr>
            </w:pPr>
            <w:r w:rsidRPr="00CB326B">
              <w:rPr>
                <w:b/>
                <w:lang w:val="lv-LV" w:eastAsia="lv-LV"/>
              </w:rPr>
              <w:t>Pretendentam jāapliecina speciālistu piemērotība ar šādiem dokumentiem un informāciju:</w:t>
            </w:r>
          </w:p>
          <w:p w:rsidR="00CE06F9" w:rsidRPr="00CB326B" w:rsidRDefault="00CE06F9" w:rsidP="00C956F6">
            <w:pPr>
              <w:ind w:right="-17"/>
              <w:rPr>
                <w:b/>
                <w:lang w:val="lv-LV" w:eastAsia="lv-LV"/>
              </w:rPr>
            </w:pPr>
          </w:p>
          <w:p w:rsidR="00CE06F9" w:rsidRPr="00CB326B" w:rsidRDefault="00CE06F9" w:rsidP="00C956F6">
            <w:pPr>
              <w:ind w:right="-17"/>
              <w:jc w:val="center"/>
              <w:rPr>
                <w:b/>
                <w:lang w:val="lv-LV" w:eastAsia="lv-LV"/>
              </w:rPr>
            </w:pPr>
          </w:p>
        </w:tc>
        <w:tc>
          <w:tcPr>
            <w:tcW w:w="2410" w:type="dxa"/>
            <w:vAlign w:val="center"/>
          </w:tcPr>
          <w:p w:rsidR="00CE06F9" w:rsidRPr="00CB326B" w:rsidRDefault="00CE06F9" w:rsidP="00C956F6">
            <w:pPr>
              <w:ind w:right="-17"/>
              <w:jc w:val="center"/>
              <w:rPr>
                <w:b/>
                <w:lang w:val="lv-LV" w:eastAsia="lv-LV"/>
              </w:rPr>
            </w:pPr>
            <w:r w:rsidRPr="0086180F">
              <w:rPr>
                <w:lang w:val="lv-LV"/>
              </w:rPr>
              <w:t xml:space="preserve">SIA </w:t>
            </w:r>
            <w:r w:rsidRPr="0086180F">
              <w:rPr>
                <w:shd w:val="clear" w:color="auto" w:fill="FFFFFF"/>
              </w:rPr>
              <w:t>"</w:t>
            </w:r>
            <w:proofErr w:type="spellStart"/>
            <w:r w:rsidRPr="0086180F">
              <w:rPr>
                <w:lang w:eastAsia="ru-RU"/>
              </w:rPr>
              <w:t>Comperio</w:t>
            </w:r>
            <w:proofErr w:type="spellEnd"/>
            <w:r w:rsidRPr="0086180F">
              <w:rPr>
                <w:shd w:val="clear" w:color="auto" w:fill="FFFFFF"/>
              </w:rPr>
              <w:t>"</w:t>
            </w:r>
          </w:p>
        </w:tc>
        <w:tc>
          <w:tcPr>
            <w:tcW w:w="2409" w:type="dxa"/>
            <w:vAlign w:val="center"/>
          </w:tcPr>
          <w:p w:rsidR="00CE06F9" w:rsidRPr="00CB326B" w:rsidRDefault="00CE06F9" w:rsidP="00C956F6">
            <w:pPr>
              <w:ind w:right="-17"/>
              <w:jc w:val="center"/>
              <w:rPr>
                <w:b/>
                <w:lang w:val="lv-LV" w:eastAsia="lv-LV"/>
              </w:rPr>
            </w:pPr>
            <w:r w:rsidRPr="0086180F">
              <w:rPr>
                <w:lang w:val="lv-LV"/>
              </w:rPr>
              <w:t xml:space="preserve">SIA </w:t>
            </w:r>
            <w:r w:rsidRPr="0086180F">
              <w:rPr>
                <w:shd w:val="clear" w:color="auto" w:fill="FFFFFF"/>
              </w:rPr>
              <w:t>"</w:t>
            </w:r>
            <w:r w:rsidRPr="0086180F">
              <w:rPr>
                <w:lang w:val="lv-LV"/>
              </w:rPr>
              <w:t xml:space="preserve">Berg </w:t>
            </w:r>
            <w:proofErr w:type="spellStart"/>
            <w:r w:rsidRPr="0086180F">
              <w:rPr>
                <w:lang w:val="lv-LV"/>
              </w:rPr>
              <w:t>Research</w:t>
            </w:r>
            <w:proofErr w:type="spellEnd"/>
            <w:r w:rsidRPr="0086180F">
              <w:rPr>
                <w:shd w:val="clear" w:color="auto" w:fill="FFFFFF"/>
              </w:rPr>
              <w:t>"</w:t>
            </w:r>
          </w:p>
        </w:tc>
        <w:tc>
          <w:tcPr>
            <w:tcW w:w="2317" w:type="dxa"/>
            <w:vAlign w:val="center"/>
          </w:tcPr>
          <w:p w:rsidR="00CE06F9" w:rsidRPr="00CB326B" w:rsidRDefault="00CE06F9" w:rsidP="00C956F6">
            <w:pPr>
              <w:ind w:right="-17"/>
              <w:jc w:val="center"/>
              <w:rPr>
                <w:b/>
                <w:lang w:val="lv-LV" w:eastAsia="lv-LV"/>
              </w:rPr>
            </w:pPr>
            <w:r w:rsidRPr="0086180F">
              <w:rPr>
                <w:lang w:val="lv-LV"/>
              </w:rPr>
              <w:t xml:space="preserve">SIA </w:t>
            </w:r>
            <w:r w:rsidRPr="0086180F">
              <w:rPr>
                <w:shd w:val="clear" w:color="auto" w:fill="FFFFFF"/>
              </w:rPr>
              <w:t>"</w:t>
            </w:r>
            <w:r w:rsidRPr="0086180F">
              <w:rPr>
                <w:lang w:val="lv-LV"/>
              </w:rPr>
              <w:t xml:space="preserve">Vīlands </w:t>
            </w:r>
            <w:proofErr w:type="spellStart"/>
            <w:r w:rsidRPr="0086180F">
              <w:rPr>
                <w:lang w:val="lv-LV"/>
              </w:rPr>
              <w:t>Associates</w:t>
            </w:r>
            <w:proofErr w:type="spellEnd"/>
            <w:r w:rsidRPr="0086180F">
              <w:rPr>
                <w:shd w:val="clear" w:color="auto" w:fill="FFFFFF"/>
              </w:rPr>
              <w:t>"</w:t>
            </w:r>
          </w:p>
        </w:tc>
      </w:tr>
      <w:tr w:rsidR="00CE06F9" w:rsidRPr="00CB326B" w:rsidTr="00CE06F9">
        <w:trPr>
          <w:trHeight w:val="1481"/>
        </w:trPr>
        <w:tc>
          <w:tcPr>
            <w:tcW w:w="5665" w:type="dxa"/>
            <w:shd w:val="clear" w:color="auto" w:fill="auto"/>
            <w:vAlign w:val="center"/>
          </w:tcPr>
          <w:p w:rsidR="00CE06F9" w:rsidRPr="00CB326B" w:rsidRDefault="00CE06F9" w:rsidP="00C956F6">
            <w:pPr>
              <w:tabs>
                <w:tab w:val="left" w:pos="1156"/>
              </w:tabs>
              <w:ind w:right="-17"/>
              <w:rPr>
                <w:b/>
                <w:lang w:val="lv-LV" w:eastAsia="lv-LV"/>
              </w:rPr>
            </w:pPr>
            <w:r w:rsidRPr="00CB326B">
              <w:rPr>
                <w:b/>
                <w:lang w:val="lv-LV" w:eastAsia="lv-LV"/>
              </w:rPr>
              <w:lastRenderedPageBreak/>
              <w:t xml:space="preserve">4.2.Izglītība: </w:t>
            </w:r>
          </w:p>
          <w:p w:rsidR="00CE06F9" w:rsidRPr="00CB326B" w:rsidRDefault="00CE06F9" w:rsidP="00C956F6">
            <w:pPr>
              <w:tabs>
                <w:tab w:val="left" w:pos="1156"/>
              </w:tabs>
              <w:ind w:left="360" w:right="-17"/>
              <w:contextualSpacing/>
              <w:rPr>
                <w:lang w:val="lv-LV" w:eastAsia="lv-LV"/>
              </w:rPr>
            </w:pPr>
          </w:p>
          <w:p w:rsidR="00CE06F9" w:rsidRPr="00CB326B" w:rsidRDefault="00CE06F9" w:rsidP="00C956F6">
            <w:pPr>
              <w:tabs>
                <w:tab w:val="left" w:pos="1156"/>
              </w:tabs>
              <w:ind w:right="-17"/>
              <w:rPr>
                <w:lang w:val="lv-LV" w:eastAsia="lv-LV"/>
              </w:rPr>
            </w:pPr>
            <w:r w:rsidRPr="00CB326B">
              <w:rPr>
                <w:b/>
                <w:lang w:val="lv-LV" w:eastAsia="lv-LV"/>
              </w:rPr>
              <w:t xml:space="preserve">4.2.1.Projekta vadītājam – stratēģiskajam direktoram: </w:t>
            </w:r>
            <w:r w:rsidRPr="00CB326B">
              <w:rPr>
                <w:lang w:val="lv-LV" w:eastAsia="lv-LV"/>
              </w:rPr>
              <w:t xml:space="preserve">vismaz </w:t>
            </w:r>
            <w:r w:rsidRPr="00CB326B">
              <w:rPr>
                <w:rFonts w:eastAsia="Calibri"/>
                <w:shd w:val="clear" w:color="auto" w:fill="FFFFFF"/>
                <w:lang w:val="lv-LV"/>
              </w:rPr>
              <w:t xml:space="preserve">akadēmiskā izglītība (maģistra grāds) vai otrā līmeņa profesionālā augstākā izglītība </w:t>
            </w:r>
            <w:r w:rsidRPr="00CB326B">
              <w:rPr>
                <w:lang w:val="lv-LV" w:eastAsia="lv-LV"/>
              </w:rPr>
              <w:t>sociālo zinātņu vai komunikācijas jomā.</w:t>
            </w:r>
          </w:p>
          <w:p w:rsidR="00CE06F9" w:rsidRPr="00CB326B" w:rsidRDefault="00CE06F9" w:rsidP="00C956F6">
            <w:pPr>
              <w:tabs>
                <w:tab w:val="left" w:pos="1156"/>
              </w:tabs>
              <w:ind w:right="-17"/>
              <w:contextualSpacing/>
              <w:rPr>
                <w:lang w:val="lv-LV" w:eastAsia="lv-LV"/>
              </w:rPr>
            </w:pPr>
          </w:p>
          <w:p w:rsidR="00CE06F9" w:rsidRPr="00CB326B" w:rsidRDefault="00CE06F9" w:rsidP="00C956F6">
            <w:pPr>
              <w:tabs>
                <w:tab w:val="left" w:pos="1156"/>
              </w:tabs>
              <w:ind w:right="-17"/>
              <w:rPr>
                <w:lang w:val="lv-LV" w:eastAsia="lv-LV"/>
              </w:rPr>
            </w:pPr>
            <w:r w:rsidRPr="00CB326B">
              <w:rPr>
                <w:b/>
                <w:lang w:val="lv-LV" w:eastAsia="lv-LV"/>
              </w:rPr>
              <w:t>4.2.2.Sabiedrisko attiecību speciālistam:</w:t>
            </w:r>
            <w:r w:rsidRPr="00CB326B">
              <w:rPr>
                <w:lang w:val="lv-LV" w:eastAsia="lv-LV"/>
              </w:rPr>
              <w:t xml:space="preserve"> v</w:t>
            </w:r>
            <w:r w:rsidRPr="00CB326B">
              <w:rPr>
                <w:rFonts w:eastAsia="Calibri"/>
                <w:shd w:val="clear" w:color="auto" w:fill="FFFFFF"/>
                <w:lang w:val="lv-LV"/>
              </w:rPr>
              <w:t xml:space="preserve">ismaz akadēmiskā izglītība (bakalaura grāds) </w:t>
            </w:r>
            <w:r w:rsidRPr="00CB326B">
              <w:rPr>
                <w:lang w:val="lv-LV" w:eastAsia="lv-LV"/>
              </w:rPr>
              <w:t>vai profesionālais bakalaura grāds sociālo zinātņu vai sabiedrisko attiecību jomā.</w:t>
            </w:r>
          </w:p>
          <w:p w:rsidR="00CE06F9" w:rsidRPr="00CB326B" w:rsidRDefault="00CE06F9" w:rsidP="00C956F6">
            <w:pPr>
              <w:tabs>
                <w:tab w:val="left" w:pos="1156"/>
              </w:tabs>
              <w:ind w:right="-17"/>
              <w:rPr>
                <w:lang w:val="lv-LV" w:eastAsia="lv-LV"/>
              </w:rPr>
            </w:pPr>
          </w:p>
          <w:p w:rsidR="00CE06F9" w:rsidRPr="00CB326B" w:rsidRDefault="00CE06F9" w:rsidP="00C956F6">
            <w:pPr>
              <w:tabs>
                <w:tab w:val="left" w:pos="1156"/>
              </w:tabs>
              <w:ind w:right="-17"/>
              <w:rPr>
                <w:lang w:val="lv-LV" w:eastAsia="lv-LV"/>
              </w:rPr>
            </w:pPr>
            <w:r w:rsidRPr="00CB326B">
              <w:rPr>
                <w:b/>
                <w:lang w:val="lv-LV" w:eastAsia="lv-LV"/>
              </w:rPr>
              <w:t>4.2.3.Vadošajam pētniekam – pētījuma vadītājam:</w:t>
            </w:r>
            <w:r w:rsidRPr="00CB326B">
              <w:rPr>
                <w:lang w:val="lv-LV" w:eastAsia="lv-LV"/>
              </w:rPr>
              <w:t xml:space="preserve"> </w:t>
            </w:r>
            <w:r w:rsidRPr="00CB326B">
              <w:rPr>
                <w:lang w:val="lv-LV"/>
              </w:rPr>
              <w:t>augstākā izglītība socioloģijā (maģistra vai doktora grāds).</w:t>
            </w:r>
          </w:p>
          <w:p w:rsidR="00CE06F9" w:rsidRPr="00CB326B" w:rsidRDefault="00CE06F9" w:rsidP="00C956F6">
            <w:pPr>
              <w:overflowPunct w:val="0"/>
              <w:autoSpaceDE w:val="0"/>
              <w:autoSpaceDN w:val="0"/>
              <w:adjustRightInd w:val="0"/>
              <w:ind w:left="720" w:right="-1"/>
              <w:contextualSpacing/>
              <w:textAlignment w:val="baseline"/>
              <w:rPr>
                <w:lang w:val="lv-LV"/>
              </w:rPr>
            </w:pPr>
          </w:p>
          <w:p w:rsidR="00CE06F9" w:rsidRPr="00CB326B" w:rsidRDefault="00CE06F9" w:rsidP="00C956F6">
            <w:pPr>
              <w:tabs>
                <w:tab w:val="left" w:pos="1156"/>
              </w:tabs>
              <w:ind w:right="-17"/>
              <w:rPr>
                <w:lang w:val="lv-LV" w:eastAsia="lv-LV"/>
              </w:rPr>
            </w:pPr>
            <w:r w:rsidRPr="00CB326B">
              <w:rPr>
                <w:b/>
                <w:lang w:val="lv-LV" w:eastAsia="lv-LV"/>
              </w:rPr>
              <w:t xml:space="preserve">4.2.4.Pētniekam: </w:t>
            </w:r>
            <w:r w:rsidRPr="00CB326B">
              <w:rPr>
                <w:lang w:val="lv-LV" w:eastAsia="lv-LV"/>
              </w:rPr>
              <w:t xml:space="preserve">vismaz </w:t>
            </w:r>
            <w:r w:rsidRPr="00CB326B">
              <w:rPr>
                <w:lang w:val="lv-LV"/>
              </w:rPr>
              <w:t>augstākā izglītība socioloģijā (maģistra grāds).</w:t>
            </w:r>
          </w:p>
        </w:tc>
        <w:tc>
          <w:tcPr>
            <w:tcW w:w="1985" w:type="dxa"/>
            <w:shd w:val="clear" w:color="auto" w:fill="auto"/>
            <w:vAlign w:val="center"/>
          </w:tcPr>
          <w:p w:rsidR="00CE06F9" w:rsidRPr="00CB326B" w:rsidRDefault="00CE06F9" w:rsidP="00C956F6">
            <w:pPr>
              <w:ind w:right="-17"/>
              <w:jc w:val="center"/>
              <w:rPr>
                <w:b/>
                <w:lang w:val="lv-LV" w:eastAsia="lv-LV"/>
              </w:rPr>
            </w:pPr>
            <w:r w:rsidRPr="00CB326B">
              <w:rPr>
                <w:lang w:val="lv-LV" w:eastAsia="lv-LV"/>
              </w:rPr>
              <w:t>Izglītības dokumentu kopijas</w:t>
            </w:r>
          </w:p>
        </w:tc>
        <w:tc>
          <w:tcPr>
            <w:tcW w:w="2410" w:type="dxa"/>
            <w:vAlign w:val="center"/>
          </w:tcPr>
          <w:p w:rsidR="00CE06F9" w:rsidRPr="00CB326B" w:rsidRDefault="00CE06F9" w:rsidP="00C956F6">
            <w:pPr>
              <w:ind w:right="-17"/>
              <w:jc w:val="center"/>
              <w:rPr>
                <w:lang w:val="lv-LV" w:eastAsia="lv-LV"/>
              </w:rPr>
            </w:pPr>
            <w:r w:rsidRPr="00CB326B">
              <w:rPr>
                <w:lang w:val="lv-LV" w:eastAsia="lv-LV"/>
              </w:rPr>
              <w:t>Ir iesniegts/atbilst</w:t>
            </w:r>
          </w:p>
        </w:tc>
        <w:tc>
          <w:tcPr>
            <w:tcW w:w="2409" w:type="dxa"/>
            <w:vAlign w:val="center"/>
          </w:tcPr>
          <w:p w:rsidR="00CE06F9" w:rsidRPr="00CB326B" w:rsidRDefault="00CE06F9" w:rsidP="00C956F6">
            <w:pPr>
              <w:ind w:right="-17"/>
              <w:jc w:val="center"/>
              <w:rPr>
                <w:lang w:val="lv-LV" w:eastAsia="lv-LV"/>
              </w:rPr>
            </w:pPr>
            <w:r w:rsidRPr="00CB326B">
              <w:rPr>
                <w:lang w:val="lv-LV" w:eastAsia="lv-LV"/>
              </w:rPr>
              <w:t>Ir iesniegts/atbilst</w:t>
            </w:r>
          </w:p>
        </w:tc>
        <w:tc>
          <w:tcPr>
            <w:tcW w:w="2317" w:type="dxa"/>
            <w:vAlign w:val="center"/>
          </w:tcPr>
          <w:p w:rsidR="00CE06F9" w:rsidRPr="00CB326B" w:rsidRDefault="00CE06F9" w:rsidP="00C956F6">
            <w:pPr>
              <w:ind w:right="-17"/>
              <w:jc w:val="center"/>
              <w:rPr>
                <w:lang w:val="lv-LV" w:eastAsia="lv-LV"/>
              </w:rPr>
            </w:pPr>
            <w:r w:rsidRPr="00CB326B">
              <w:rPr>
                <w:lang w:val="lv-LV" w:eastAsia="lv-LV"/>
              </w:rPr>
              <w:t>Ir iesniegts/atbilst</w:t>
            </w:r>
          </w:p>
        </w:tc>
      </w:tr>
      <w:tr w:rsidR="00CE06F9" w:rsidRPr="00CB326B" w:rsidTr="00CE06F9">
        <w:trPr>
          <w:trHeight w:val="1417"/>
        </w:trPr>
        <w:tc>
          <w:tcPr>
            <w:tcW w:w="5665" w:type="dxa"/>
            <w:shd w:val="clear" w:color="auto" w:fill="auto"/>
            <w:vAlign w:val="center"/>
          </w:tcPr>
          <w:p w:rsidR="00CE06F9" w:rsidRPr="00CB326B" w:rsidRDefault="00CE06F9" w:rsidP="00C956F6">
            <w:pPr>
              <w:tabs>
                <w:tab w:val="left" w:pos="1156"/>
              </w:tabs>
              <w:ind w:left="360" w:right="-17"/>
              <w:contextualSpacing/>
              <w:rPr>
                <w:rFonts w:eastAsia="Calibri"/>
                <w:bCs/>
                <w:lang w:val="lv-LV" w:eastAsia="lv-LV"/>
              </w:rPr>
            </w:pPr>
            <w:r w:rsidRPr="00CB326B">
              <w:rPr>
                <w:rFonts w:eastAsia="Calibri"/>
                <w:b/>
                <w:bCs/>
                <w:lang w:val="lv-LV" w:eastAsia="lv-LV"/>
              </w:rPr>
              <w:t xml:space="preserve">4.3.Pieredze: </w:t>
            </w:r>
          </w:p>
          <w:p w:rsidR="00CE06F9" w:rsidRPr="00CB326B" w:rsidRDefault="00CE06F9" w:rsidP="00C956F6">
            <w:pPr>
              <w:tabs>
                <w:tab w:val="left" w:pos="1156"/>
              </w:tabs>
              <w:ind w:left="360" w:right="-17"/>
              <w:contextualSpacing/>
              <w:rPr>
                <w:rFonts w:eastAsia="Calibri"/>
                <w:bCs/>
                <w:lang w:val="lv-LV" w:eastAsia="lv-LV"/>
              </w:rPr>
            </w:pPr>
          </w:p>
          <w:p w:rsidR="00CE06F9" w:rsidRPr="00CB326B" w:rsidRDefault="00CE06F9" w:rsidP="00C956F6">
            <w:pPr>
              <w:tabs>
                <w:tab w:val="left" w:pos="1156"/>
              </w:tabs>
              <w:ind w:right="-17"/>
              <w:rPr>
                <w:rFonts w:eastAsia="Calibri"/>
                <w:bCs/>
                <w:lang w:val="lv-LV" w:eastAsia="lv-LV"/>
              </w:rPr>
            </w:pPr>
            <w:r w:rsidRPr="00CB326B">
              <w:rPr>
                <w:rFonts w:eastAsia="Calibri"/>
                <w:b/>
                <w:bCs/>
                <w:lang w:val="lv-LV" w:eastAsia="lv-LV"/>
              </w:rPr>
              <w:t>4.3.1.Projektu vadītājam – stratēģiskajam direktoram</w:t>
            </w:r>
            <w:r w:rsidRPr="00CB326B">
              <w:rPr>
                <w:rFonts w:eastAsia="Calibri"/>
                <w:bCs/>
                <w:lang w:val="lv-LV" w:eastAsia="lv-LV"/>
              </w:rPr>
              <w:t xml:space="preserve"> vismaz 3 (trīs) iepriekšējos gados līdz piedāvājuma iesniegšanas dienai pieredze:</w:t>
            </w:r>
          </w:p>
          <w:p w:rsidR="00CE06F9" w:rsidRPr="00CB326B" w:rsidRDefault="00CE06F9" w:rsidP="00C956F6">
            <w:pPr>
              <w:tabs>
                <w:tab w:val="left" w:pos="1156"/>
              </w:tabs>
              <w:ind w:right="-17"/>
              <w:rPr>
                <w:rFonts w:eastAsia="Calibri"/>
                <w:bCs/>
                <w:lang w:val="lv-LV" w:eastAsia="lv-LV"/>
              </w:rPr>
            </w:pPr>
            <w:r w:rsidRPr="00CB326B">
              <w:rPr>
                <w:rFonts w:eastAsia="Calibri"/>
                <w:bCs/>
                <w:lang w:val="lv-LV" w:eastAsia="lv-LV"/>
              </w:rPr>
              <w:t>1) sabiedrisko attiecību nozarē,</w:t>
            </w:r>
          </w:p>
          <w:p w:rsidR="00CE06F9" w:rsidRPr="00CB326B" w:rsidRDefault="00CE06F9" w:rsidP="00C956F6">
            <w:pPr>
              <w:tabs>
                <w:tab w:val="left" w:pos="1156"/>
              </w:tabs>
              <w:ind w:right="-17"/>
              <w:rPr>
                <w:rFonts w:eastAsia="Calibri"/>
                <w:bCs/>
                <w:lang w:val="lv-LV" w:eastAsia="lv-LV"/>
              </w:rPr>
            </w:pPr>
            <w:r w:rsidRPr="00CB326B">
              <w:rPr>
                <w:rFonts w:eastAsia="Calibri"/>
                <w:bCs/>
                <w:lang w:val="lv-LV" w:eastAsia="lv-LV"/>
              </w:rPr>
              <w:t>2) vismaz 2 (divu) komunikācijas stratēģiju izstrādes darba vadīšanā,</w:t>
            </w:r>
          </w:p>
          <w:p w:rsidR="00CE06F9" w:rsidRPr="00CB326B" w:rsidRDefault="00CE06F9" w:rsidP="00C956F6">
            <w:pPr>
              <w:tabs>
                <w:tab w:val="left" w:pos="1156"/>
              </w:tabs>
              <w:ind w:right="-17"/>
              <w:rPr>
                <w:rFonts w:eastAsia="Calibri"/>
                <w:b/>
                <w:bCs/>
                <w:lang w:val="lv-LV" w:eastAsia="lv-LV"/>
              </w:rPr>
            </w:pPr>
            <w:r w:rsidRPr="00CB326B">
              <w:rPr>
                <w:rFonts w:eastAsia="Calibri"/>
                <w:bCs/>
                <w:lang w:val="lv-LV" w:eastAsia="lv-LV"/>
              </w:rPr>
              <w:t xml:space="preserve">3) dalība vismaz 2 (divu) sabiedriskās domas pētījumu izstrādē. Vismaz 1 (viens) </w:t>
            </w:r>
            <w:r w:rsidRPr="00CB326B">
              <w:rPr>
                <w:lang w:val="lv-LV"/>
              </w:rPr>
              <w:t>no pētījumiem veikts valsts pārvaldes iestāžu vajadzībām.</w:t>
            </w:r>
          </w:p>
          <w:p w:rsidR="00CE06F9" w:rsidRPr="00CB326B" w:rsidRDefault="00CE06F9" w:rsidP="00C956F6">
            <w:pPr>
              <w:tabs>
                <w:tab w:val="left" w:pos="1156"/>
              </w:tabs>
              <w:ind w:left="720" w:right="-17"/>
              <w:contextualSpacing/>
              <w:rPr>
                <w:rFonts w:eastAsia="Calibri"/>
                <w:bCs/>
                <w:lang w:val="lv-LV" w:eastAsia="lv-LV"/>
              </w:rPr>
            </w:pPr>
          </w:p>
          <w:p w:rsidR="00CE06F9" w:rsidRPr="00CB326B" w:rsidRDefault="00CE06F9" w:rsidP="00C956F6">
            <w:pPr>
              <w:tabs>
                <w:tab w:val="left" w:pos="1156"/>
              </w:tabs>
              <w:ind w:right="-17"/>
              <w:rPr>
                <w:rFonts w:eastAsia="Calibri"/>
                <w:b/>
                <w:bCs/>
                <w:lang w:val="lv-LV" w:eastAsia="lv-LV"/>
              </w:rPr>
            </w:pPr>
            <w:r w:rsidRPr="00CB326B">
              <w:rPr>
                <w:rFonts w:eastAsia="Calibri"/>
                <w:b/>
                <w:bCs/>
                <w:lang w:val="lv-LV" w:eastAsia="lv-LV"/>
              </w:rPr>
              <w:lastRenderedPageBreak/>
              <w:t xml:space="preserve">4.3.2.Sabiedrisko attiecību speciālistam </w:t>
            </w:r>
            <w:r w:rsidRPr="00CB326B">
              <w:rPr>
                <w:rFonts w:eastAsia="Calibri"/>
                <w:bCs/>
                <w:lang w:val="lv-LV" w:eastAsia="lv-LV"/>
              </w:rPr>
              <w:t>trijos iepriekšējos gados līdz piedāvājuma iesniegšanas dienai pieredze</w:t>
            </w:r>
          </w:p>
          <w:p w:rsidR="00CE06F9" w:rsidRPr="00CB326B" w:rsidRDefault="00CE06F9" w:rsidP="00C956F6">
            <w:pPr>
              <w:tabs>
                <w:tab w:val="left" w:pos="1156"/>
              </w:tabs>
              <w:ind w:right="-17"/>
              <w:rPr>
                <w:lang w:val="lv-LV"/>
              </w:rPr>
            </w:pPr>
            <w:r w:rsidRPr="00CB326B">
              <w:rPr>
                <w:rFonts w:eastAsia="Calibri"/>
                <w:bCs/>
                <w:lang w:val="lv-LV" w:eastAsia="lv-LV"/>
              </w:rPr>
              <w:t>1) sabiedrisko attiecību nozarē, 2) vismaz 2 (divu) komunikācijas stratēģiju izstrādē uz sabiedriskās domas pētījumu pamata.</w:t>
            </w:r>
            <w:r w:rsidRPr="00CB326B">
              <w:rPr>
                <w:lang w:val="lv-LV"/>
              </w:rPr>
              <w:t xml:space="preserve"> </w:t>
            </w:r>
          </w:p>
          <w:p w:rsidR="00CE06F9" w:rsidRPr="00CB326B" w:rsidRDefault="00CE06F9" w:rsidP="00C956F6">
            <w:pPr>
              <w:tabs>
                <w:tab w:val="left" w:pos="1156"/>
              </w:tabs>
              <w:ind w:right="-17"/>
              <w:rPr>
                <w:rFonts w:eastAsia="Calibri"/>
                <w:b/>
                <w:bCs/>
                <w:lang w:val="lv-LV" w:eastAsia="lv-LV"/>
              </w:rPr>
            </w:pPr>
          </w:p>
          <w:p w:rsidR="00CE06F9" w:rsidRPr="00CB326B" w:rsidRDefault="00CE06F9" w:rsidP="00C956F6">
            <w:pPr>
              <w:tabs>
                <w:tab w:val="left" w:pos="1156"/>
              </w:tabs>
              <w:ind w:right="-17"/>
              <w:rPr>
                <w:rFonts w:eastAsia="Calibri"/>
                <w:b/>
                <w:bCs/>
                <w:lang w:val="lv-LV" w:eastAsia="lv-LV"/>
              </w:rPr>
            </w:pPr>
            <w:r w:rsidRPr="00CB326B">
              <w:rPr>
                <w:rFonts w:eastAsia="Calibri"/>
                <w:b/>
                <w:bCs/>
                <w:lang w:val="lv-LV" w:eastAsia="lv-LV"/>
              </w:rPr>
              <w:t>4.3.3.Vadošajam pētniekam – pētījuma vadītājam</w:t>
            </w:r>
            <w:r w:rsidRPr="00CB326B">
              <w:rPr>
                <w:rFonts w:eastAsia="Calibri"/>
                <w:bCs/>
                <w:lang w:val="lv-LV" w:eastAsia="lv-LV"/>
              </w:rPr>
              <w:t xml:space="preserve"> trijos iepriekšējos gados līdz piedāvājuma iesniegšanas dienai pieredze:</w:t>
            </w:r>
            <w:r w:rsidRPr="00CB326B">
              <w:rPr>
                <w:rFonts w:eastAsia="Calibri"/>
                <w:b/>
                <w:bCs/>
                <w:lang w:val="lv-LV" w:eastAsia="lv-LV"/>
              </w:rPr>
              <w:t xml:space="preserve"> </w:t>
            </w:r>
            <w:r w:rsidRPr="00CB326B">
              <w:rPr>
                <w:lang w:val="lv-LV"/>
              </w:rPr>
              <w:t>vismaz 2 (divu) sabiedriskās domas pētījumu vadīšanā, tajā skaitā vismaz 1 (viens) no šiem pētījumiem veikts valsts pārvaldes iestāžu vajadzībām.</w:t>
            </w:r>
          </w:p>
          <w:p w:rsidR="00CE06F9" w:rsidRPr="00CB326B" w:rsidRDefault="00CE06F9" w:rsidP="00C956F6">
            <w:pPr>
              <w:overflowPunct w:val="0"/>
              <w:autoSpaceDE w:val="0"/>
              <w:autoSpaceDN w:val="0"/>
              <w:adjustRightInd w:val="0"/>
              <w:ind w:left="360" w:right="-1"/>
              <w:contextualSpacing/>
              <w:textAlignment w:val="baseline"/>
              <w:rPr>
                <w:lang w:val="lv-LV"/>
              </w:rPr>
            </w:pPr>
          </w:p>
          <w:p w:rsidR="00CE06F9" w:rsidRPr="00CB326B" w:rsidRDefault="00CE06F9" w:rsidP="00C956F6">
            <w:pPr>
              <w:tabs>
                <w:tab w:val="left" w:pos="1156"/>
              </w:tabs>
              <w:ind w:right="-17"/>
              <w:rPr>
                <w:lang w:val="lv-LV"/>
              </w:rPr>
            </w:pPr>
            <w:r w:rsidRPr="00CB326B">
              <w:rPr>
                <w:rFonts w:eastAsia="Calibri"/>
                <w:b/>
                <w:bCs/>
                <w:lang w:val="lv-LV" w:eastAsia="lv-LV"/>
              </w:rPr>
              <w:t xml:space="preserve">4.3.4.Pētniekam </w:t>
            </w:r>
            <w:r w:rsidRPr="00CB326B">
              <w:rPr>
                <w:rFonts w:eastAsia="Calibri"/>
                <w:bCs/>
                <w:lang w:val="lv-LV" w:eastAsia="lv-LV"/>
              </w:rPr>
              <w:t>trijos iepriekšējos gados līdz piedāvājuma iesniegšanas dienai pieredze</w:t>
            </w:r>
            <w:r w:rsidRPr="00CB326B">
              <w:rPr>
                <w:rFonts w:eastAsia="Calibri"/>
                <w:b/>
                <w:bCs/>
                <w:lang w:val="lv-LV" w:eastAsia="lv-LV"/>
              </w:rPr>
              <w:t xml:space="preserve">: </w:t>
            </w:r>
            <w:r w:rsidRPr="00CB326B">
              <w:rPr>
                <w:lang w:val="lv-LV"/>
              </w:rPr>
              <w:t>vismaz 2 (divu) sabiedriskās domas pētījumu izstrādē, tajā skaitā vismaz 1 (viens) no šiem pētījumiem veikts valsts pārvaldes iestāžu vajadzībām.</w:t>
            </w:r>
          </w:p>
          <w:p w:rsidR="00CE06F9" w:rsidRPr="00CB326B" w:rsidRDefault="00CE06F9" w:rsidP="00C956F6">
            <w:pPr>
              <w:tabs>
                <w:tab w:val="left" w:pos="1156"/>
              </w:tabs>
              <w:ind w:right="-17"/>
              <w:rPr>
                <w:lang w:val="lv-LV"/>
              </w:rPr>
            </w:pPr>
          </w:p>
          <w:p w:rsidR="00CE06F9" w:rsidRPr="00CB326B" w:rsidRDefault="00CE06F9" w:rsidP="00C956F6">
            <w:pPr>
              <w:tabs>
                <w:tab w:val="left" w:pos="1156"/>
              </w:tabs>
              <w:ind w:right="-17"/>
              <w:rPr>
                <w:lang w:val="lv-LV"/>
              </w:rPr>
            </w:pPr>
            <w:r w:rsidRPr="00CB326B">
              <w:rPr>
                <w:rFonts w:eastAsia="Calibri"/>
                <w:b/>
                <w:u w:val="single"/>
                <w:lang w:val="lv-LV"/>
              </w:rPr>
              <w:t>Uz pieteikuma iesniegšanas brīdi visiem punktā 4.3. minētajiem pakalpojumiem jābūt realizētam pilnībā.</w:t>
            </w:r>
          </w:p>
        </w:tc>
        <w:tc>
          <w:tcPr>
            <w:tcW w:w="1985" w:type="dxa"/>
            <w:shd w:val="clear" w:color="auto" w:fill="auto"/>
            <w:vAlign w:val="center"/>
          </w:tcPr>
          <w:p w:rsidR="00CE06F9" w:rsidRPr="00CB326B" w:rsidRDefault="00CE06F9" w:rsidP="00C956F6">
            <w:pPr>
              <w:ind w:right="-17"/>
              <w:jc w:val="center"/>
              <w:rPr>
                <w:lang w:val="lv-LV" w:eastAsia="lv-LV"/>
              </w:rPr>
            </w:pPr>
            <w:r w:rsidRPr="00CB326B">
              <w:rPr>
                <w:lang w:val="lv-LV" w:eastAsia="lv-LV"/>
              </w:rPr>
              <w:lastRenderedPageBreak/>
              <w:t>CV</w:t>
            </w:r>
          </w:p>
          <w:p w:rsidR="00CE06F9" w:rsidRPr="00CB326B" w:rsidRDefault="00CE06F9" w:rsidP="00C956F6">
            <w:pPr>
              <w:ind w:right="-17"/>
              <w:rPr>
                <w:lang w:val="lv-LV" w:eastAsia="lv-LV"/>
              </w:rPr>
            </w:pPr>
            <w:r w:rsidRPr="00CB326B">
              <w:rPr>
                <w:lang w:val="lv-LV" w:eastAsia="lv-LV"/>
              </w:rPr>
              <w:t xml:space="preserve">Vadošā pētnieka – pētījuma vadītāja un pētnieka CV pēc 3. pielikuma parauga </w:t>
            </w:r>
            <w:r w:rsidRPr="00CB326B">
              <w:rPr>
                <w:i/>
                <w:lang w:val="lv-LV" w:eastAsia="lv-LV"/>
              </w:rPr>
              <w:t>“</w:t>
            </w:r>
            <w:r w:rsidRPr="00CB326B">
              <w:rPr>
                <w:bCs/>
                <w:i/>
                <w:lang w:val="lv-LV" w:eastAsia="lv-LV"/>
              </w:rPr>
              <w:t xml:space="preserve">Pētījuma izstrādē iesaistītā darbinieka (speciālista) </w:t>
            </w:r>
            <w:proofErr w:type="spellStart"/>
            <w:r w:rsidRPr="00CB326B">
              <w:rPr>
                <w:bCs/>
                <w:i/>
                <w:lang w:val="lv-LV" w:eastAsia="lv-LV"/>
              </w:rPr>
              <w:t>dzīvesgaitas</w:t>
            </w:r>
            <w:proofErr w:type="spellEnd"/>
            <w:r w:rsidRPr="00CB326B">
              <w:rPr>
                <w:bCs/>
                <w:i/>
                <w:lang w:val="lv-LV" w:eastAsia="lv-LV"/>
              </w:rPr>
              <w:t xml:space="preserve"> apraksta </w:t>
            </w:r>
            <w:r w:rsidRPr="00CB326B">
              <w:rPr>
                <w:bCs/>
                <w:i/>
                <w:lang w:val="lv-LV" w:eastAsia="lv-LV"/>
              </w:rPr>
              <w:lastRenderedPageBreak/>
              <w:t>(</w:t>
            </w:r>
            <w:proofErr w:type="spellStart"/>
            <w:r w:rsidRPr="00CB326B">
              <w:rPr>
                <w:bCs/>
                <w:i/>
                <w:iCs/>
                <w:lang w:val="lv-LV" w:eastAsia="lv-LV"/>
              </w:rPr>
              <w:t>Curriculum</w:t>
            </w:r>
            <w:proofErr w:type="spellEnd"/>
            <w:r w:rsidRPr="00CB326B">
              <w:rPr>
                <w:bCs/>
                <w:i/>
                <w:iCs/>
                <w:lang w:val="lv-LV" w:eastAsia="lv-LV"/>
              </w:rPr>
              <w:t xml:space="preserve"> </w:t>
            </w:r>
            <w:proofErr w:type="spellStart"/>
            <w:r w:rsidRPr="00CB326B">
              <w:rPr>
                <w:bCs/>
                <w:i/>
                <w:iCs/>
                <w:lang w:val="lv-LV" w:eastAsia="lv-LV"/>
              </w:rPr>
              <w:t>Vitae</w:t>
            </w:r>
            <w:proofErr w:type="spellEnd"/>
            <w:r w:rsidRPr="00CB326B">
              <w:rPr>
                <w:bCs/>
                <w:i/>
                <w:lang w:val="lv-LV" w:eastAsia="lv-LV"/>
              </w:rPr>
              <w:t>) paraugs</w:t>
            </w:r>
            <w:r w:rsidRPr="00CB326B">
              <w:rPr>
                <w:i/>
                <w:lang w:val="lv-LV" w:eastAsia="lv-LV"/>
              </w:rPr>
              <w:t>”.</w:t>
            </w:r>
            <w:r w:rsidRPr="00CB326B">
              <w:rPr>
                <w:lang w:val="lv-LV" w:eastAsia="lv-LV"/>
              </w:rPr>
              <w:t xml:space="preserve"> Pārējo speciālistu CV </w:t>
            </w:r>
            <w:proofErr w:type="spellStart"/>
            <w:r w:rsidRPr="00CB326B">
              <w:rPr>
                <w:i/>
                <w:lang w:val="lv-LV" w:eastAsia="lv-LV"/>
              </w:rPr>
              <w:t>Europass</w:t>
            </w:r>
            <w:proofErr w:type="spellEnd"/>
            <w:r w:rsidRPr="00CB326B">
              <w:rPr>
                <w:lang w:val="lv-LV" w:eastAsia="lv-LV"/>
              </w:rPr>
              <w:t xml:space="preserve"> vai līdzvērtīgā formātā.</w:t>
            </w:r>
          </w:p>
          <w:p w:rsidR="00CE06F9" w:rsidRPr="00CB326B" w:rsidRDefault="00CE06F9" w:rsidP="00C956F6">
            <w:pPr>
              <w:ind w:right="-17"/>
              <w:jc w:val="center"/>
              <w:rPr>
                <w:lang w:val="lv-LV" w:eastAsia="lv-LV"/>
              </w:rPr>
            </w:pPr>
          </w:p>
        </w:tc>
        <w:tc>
          <w:tcPr>
            <w:tcW w:w="2410" w:type="dxa"/>
            <w:vAlign w:val="center"/>
          </w:tcPr>
          <w:p w:rsidR="00CE06F9" w:rsidRPr="00CB326B" w:rsidRDefault="00CE06F9" w:rsidP="00C956F6">
            <w:pPr>
              <w:ind w:right="-17"/>
              <w:jc w:val="center"/>
              <w:rPr>
                <w:lang w:val="lv-LV" w:eastAsia="lv-LV"/>
              </w:rPr>
            </w:pPr>
            <w:r w:rsidRPr="00CB326B">
              <w:rPr>
                <w:lang w:val="lv-LV" w:eastAsia="lv-LV"/>
              </w:rPr>
              <w:lastRenderedPageBreak/>
              <w:t>Ir iesniegts/atbilst</w:t>
            </w:r>
          </w:p>
        </w:tc>
        <w:tc>
          <w:tcPr>
            <w:tcW w:w="2409" w:type="dxa"/>
            <w:vAlign w:val="center"/>
          </w:tcPr>
          <w:p w:rsidR="00CE06F9" w:rsidRPr="00CB326B" w:rsidRDefault="00CE06F9" w:rsidP="00C956F6">
            <w:pPr>
              <w:ind w:right="-17"/>
              <w:jc w:val="center"/>
              <w:rPr>
                <w:lang w:val="lv-LV" w:eastAsia="lv-LV"/>
              </w:rPr>
            </w:pPr>
            <w:r w:rsidRPr="00CB326B">
              <w:rPr>
                <w:lang w:val="lv-LV" w:eastAsia="lv-LV"/>
              </w:rPr>
              <w:t>Ir iesniegts/atbilst</w:t>
            </w:r>
          </w:p>
        </w:tc>
        <w:tc>
          <w:tcPr>
            <w:tcW w:w="2317" w:type="dxa"/>
            <w:vAlign w:val="center"/>
          </w:tcPr>
          <w:p w:rsidR="00CE06F9" w:rsidRPr="00CB326B" w:rsidRDefault="00CE06F9" w:rsidP="00C956F6">
            <w:pPr>
              <w:ind w:right="-17"/>
              <w:jc w:val="center"/>
              <w:rPr>
                <w:lang w:val="lv-LV" w:eastAsia="lv-LV"/>
              </w:rPr>
            </w:pPr>
            <w:r w:rsidRPr="00CB326B">
              <w:rPr>
                <w:lang w:val="lv-LV" w:eastAsia="lv-LV"/>
              </w:rPr>
              <w:t>Ir iesniegts/atbilst</w:t>
            </w:r>
          </w:p>
        </w:tc>
      </w:tr>
    </w:tbl>
    <w:p w:rsidR="004971C3" w:rsidRDefault="004971C3" w:rsidP="00620D36">
      <w:pPr>
        <w:ind w:right="-766"/>
        <w:jc w:val="both"/>
        <w:rPr>
          <w:b/>
          <w:lang w:val="lv-LV"/>
        </w:rPr>
      </w:pPr>
    </w:p>
    <w:p w:rsidR="00CE06F9" w:rsidRDefault="00CE06F9" w:rsidP="00CE06F9">
      <w:pPr>
        <w:tabs>
          <w:tab w:val="left" w:pos="540"/>
          <w:tab w:val="left" w:pos="1134"/>
        </w:tabs>
        <w:suppressAutoHyphens/>
        <w:rPr>
          <w:lang w:val="lv-LV" w:eastAsia="lv-LV"/>
        </w:rPr>
      </w:pPr>
    </w:p>
    <w:p w:rsidR="00CE06F9" w:rsidRDefault="00342039" w:rsidP="006717CE">
      <w:pPr>
        <w:tabs>
          <w:tab w:val="left" w:pos="540"/>
          <w:tab w:val="left" w:pos="1134"/>
        </w:tabs>
        <w:suppressAutoHyphens/>
        <w:jc w:val="both"/>
        <w:rPr>
          <w:lang w:val="lv-LV" w:eastAsia="lv-LV"/>
        </w:rPr>
        <w:sectPr w:rsidR="00CE06F9" w:rsidSect="00CB326B">
          <w:pgSz w:w="16838" w:h="11906" w:orient="landscape"/>
          <w:pgMar w:top="1701" w:right="1134" w:bottom="1134" w:left="1134" w:header="709" w:footer="709" w:gutter="0"/>
          <w:cols w:space="708"/>
          <w:titlePg/>
          <w:docGrid w:linePitch="360"/>
        </w:sectPr>
      </w:pPr>
      <w:r w:rsidRPr="00A5682A">
        <w:rPr>
          <w:lang w:val="lv-LV"/>
        </w:rPr>
        <w:t>Iepirkumu komisija (turpmāk – Komis</w:t>
      </w:r>
      <w:r>
        <w:rPr>
          <w:lang w:val="lv-LV"/>
        </w:rPr>
        <w:t>ija) veic pretendentu iesniegto piedāvājumu pārbaudi</w:t>
      </w:r>
      <w:proofErr w:type="gramStart"/>
      <w:r>
        <w:rPr>
          <w:lang w:val="lv-LV"/>
        </w:rPr>
        <w:t>, un pārliecinās</w:t>
      </w:r>
      <w:proofErr w:type="gramEnd"/>
      <w:r>
        <w:rPr>
          <w:lang w:val="lv-LV"/>
        </w:rPr>
        <w:t>, ka visu trīs pretendentu iesniegto piedāvājumu noformējums ir atbilstošs Nolikuma 1.8.punkta prasībām.</w:t>
      </w:r>
    </w:p>
    <w:p w:rsidR="00CE06F9" w:rsidRPr="00CB326B" w:rsidRDefault="00235F4B" w:rsidP="00235F4B">
      <w:pPr>
        <w:tabs>
          <w:tab w:val="left" w:pos="540"/>
          <w:tab w:val="left" w:pos="1134"/>
        </w:tabs>
        <w:suppressAutoHyphens/>
        <w:jc w:val="both"/>
        <w:rPr>
          <w:lang w:val="lv-LV" w:eastAsia="lv-LV"/>
        </w:rPr>
      </w:pPr>
      <w:r>
        <w:rPr>
          <w:lang w:val="lv-LV" w:eastAsia="lv-LV"/>
        </w:rPr>
        <w:lastRenderedPageBreak/>
        <w:tab/>
      </w:r>
    </w:p>
    <w:p w:rsidR="00CE06F9" w:rsidRPr="00235F4B" w:rsidRDefault="00CE06F9" w:rsidP="00235F4B">
      <w:pPr>
        <w:ind w:firstLine="720"/>
        <w:jc w:val="both"/>
        <w:rPr>
          <w:rFonts w:eastAsia="Calibri"/>
          <w:b/>
          <w:lang w:val="lv-LV"/>
        </w:rPr>
      </w:pPr>
      <w:r>
        <w:rPr>
          <w:lang w:val="lv-LV" w:eastAsia="lv-LV"/>
        </w:rPr>
        <w:t xml:space="preserve">Pretendents </w:t>
      </w:r>
      <w:r w:rsidRPr="0086180F">
        <w:rPr>
          <w:lang w:val="lv-LV"/>
        </w:rPr>
        <w:t xml:space="preserve">SIA </w:t>
      </w:r>
      <w:r w:rsidRPr="00C0133E">
        <w:rPr>
          <w:shd w:val="clear" w:color="auto" w:fill="FFFFFF"/>
          <w:lang w:val="lv-LV"/>
        </w:rPr>
        <w:t>"</w:t>
      </w:r>
      <w:r w:rsidRPr="0086180F">
        <w:rPr>
          <w:lang w:val="lv-LV"/>
        </w:rPr>
        <w:t xml:space="preserve">Berg </w:t>
      </w:r>
      <w:proofErr w:type="spellStart"/>
      <w:r w:rsidRPr="0086180F">
        <w:rPr>
          <w:lang w:val="lv-LV"/>
        </w:rPr>
        <w:t>Research</w:t>
      </w:r>
      <w:proofErr w:type="spellEnd"/>
      <w:r w:rsidRPr="00C0133E">
        <w:rPr>
          <w:shd w:val="clear" w:color="auto" w:fill="FFFFFF"/>
          <w:lang w:val="lv-LV"/>
        </w:rPr>
        <w:t>"</w:t>
      </w:r>
      <w:r>
        <w:rPr>
          <w:shd w:val="clear" w:color="auto" w:fill="FFFFFF"/>
          <w:lang w:val="lv-LV"/>
        </w:rPr>
        <w:t xml:space="preserve"> (skat. 1.tabulu)</w:t>
      </w:r>
      <w:r w:rsidRPr="00C0133E">
        <w:rPr>
          <w:shd w:val="clear" w:color="auto" w:fill="FFFFFF"/>
          <w:lang w:val="lv-LV"/>
        </w:rPr>
        <w:t xml:space="preserve"> </w:t>
      </w:r>
      <w:r>
        <w:rPr>
          <w:shd w:val="clear" w:color="auto" w:fill="FFFFFF"/>
          <w:lang w:val="lv-LV"/>
        </w:rPr>
        <w:t xml:space="preserve">iesniegtajā </w:t>
      </w:r>
      <w:r w:rsidRPr="00CB326B">
        <w:rPr>
          <w:i/>
          <w:lang w:val="lv-LV" w:eastAsia="lv-LV"/>
        </w:rPr>
        <w:t>“Pretendenta speciālistu saraksts”</w:t>
      </w:r>
      <w:r w:rsidRPr="00CB326B">
        <w:rPr>
          <w:lang w:val="lv-LV" w:eastAsia="lv-LV"/>
        </w:rPr>
        <w:t xml:space="preserve"> </w:t>
      </w:r>
      <w:r>
        <w:rPr>
          <w:lang w:val="lv-LV" w:eastAsia="lv-LV"/>
        </w:rPr>
        <w:t xml:space="preserve">(Nolikuma </w:t>
      </w:r>
      <w:r w:rsidRPr="00CB326B">
        <w:rPr>
          <w:lang w:val="lv-LV" w:eastAsia="lv-LV"/>
        </w:rPr>
        <w:t>2. pielikumā pievienotā form</w:t>
      </w:r>
      <w:r>
        <w:rPr>
          <w:lang w:val="lv-LV" w:eastAsia="lv-LV"/>
        </w:rPr>
        <w:t>a) nav norādījis</w:t>
      </w:r>
      <w:r w:rsidR="00235F4B">
        <w:rPr>
          <w:lang w:val="lv-LV" w:eastAsia="lv-LV"/>
        </w:rPr>
        <w:t>,</w:t>
      </w:r>
      <w:r>
        <w:rPr>
          <w:lang w:val="lv-LV" w:eastAsia="lv-LV"/>
        </w:rPr>
        <w:t xml:space="preserve"> kādā statusā attiecīgais personāls (vadošais pētnieks)</w:t>
      </w:r>
      <w:proofErr w:type="gramStart"/>
      <w:r>
        <w:rPr>
          <w:lang w:val="lv-LV" w:eastAsia="lv-LV"/>
        </w:rPr>
        <w:t xml:space="preserve"> guvis attiecīgo pieredzi</w:t>
      </w:r>
      <w:proofErr w:type="gramEnd"/>
      <w:r>
        <w:rPr>
          <w:lang w:val="lv-LV" w:eastAsia="lv-LV"/>
        </w:rPr>
        <w:t xml:space="preserve">, kaut gan no Nolikumam 2.pielikumā pievienotās formas, kas pretendentam bija jāizpilda, viennozīmīgi izriet, ka pretendentam jānorāda </w:t>
      </w:r>
      <w:r w:rsidRPr="007103DA">
        <w:rPr>
          <w:rFonts w:eastAsia="Calibri"/>
          <w:noProof/>
          <w:color w:val="00000A"/>
          <w:lang w:val="lv-LV"/>
        </w:rPr>
        <w:t>speciālista pienākumu apraksts atbilstoši Nolikuma 4.3.apakšpunktā</w:t>
      </w:r>
      <w:r>
        <w:rPr>
          <w:rFonts w:eastAsia="Calibri"/>
          <w:noProof/>
          <w:color w:val="00000A"/>
          <w:lang w:val="lv-LV"/>
        </w:rPr>
        <w:t xml:space="preserve">  </w:t>
      </w:r>
      <w:r w:rsidRPr="007103DA">
        <w:rPr>
          <w:rFonts w:eastAsia="Calibri"/>
          <w:noProof/>
          <w:color w:val="00000A"/>
          <w:lang w:val="lv-LV"/>
        </w:rPr>
        <w:t>ietvertajām kvalifikācijas prasībām (skat. arī 2.tabulā par pretendenta pieredzi): v</w:t>
      </w:r>
      <w:r w:rsidRPr="007103DA">
        <w:rPr>
          <w:rFonts w:eastAsia="Calibri"/>
          <w:bCs/>
          <w:lang w:val="lv-LV" w:eastAsia="lv-LV"/>
        </w:rPr>
        <w:t xml:space="preserve">adošajam pētniekam – pētījuma vadītājam trijos iepriekšējos gados līdz piedāvājuma iesniegšanas dienai pieredze: </w:t>
      </w:r>
      <w:r w:rsidRPr="007103DA">
        <w:rPr>
          <w:lang w:val="lv-LV"/>
        </w:rPr>
        <w:t>vismaz 2 (divu) sabiedriskās domas pētījumu vadīšanā,</w:t>
      </w:r>
      <w:r w:rsidRPr="00CB326B">
        <w:rPr>
          <w:lang w:val="lv-LV"/>
        </w:rPr>
        <w:t xml:space="preserve"> tajā skaitā vismaz 1 (viens) no šiem pētījumiem veikts valsts pārvaldes iestāžu vajadzībām</w:t>
      </w:r>
      <w:r>
        <w:rPr>
          <w:lang w:val="lv-LV"/>
        </w:rPr>
        <w:t xml:space="preserve">. Pretendents tabulas attiecīgajā ailē uzskaitījis sniegtos pakalpojumus (pētījumus), bet nav norādījis speciālista pienākumus attiecībā uz šiem pētījumiem, kādā statusā šis speciālists veicis pētījumus – kā pētnieks vai kā pētījumu vadītājs. </w:t>
      </w:r>
      <w:r>
        <w:rPr>
          <w:lang w:val="lv-LV" w:eastAsia="lv-LV"/>
        </w:rPr>
        <w:t xml:space="preserve">Komisija izskatot pretendenta speciālista vadošā pētnieka CV (profesionālās pieredzes aprakstu) pārliecinās, ka šim speciālistam ir attiecīgā pieredze vismaz divu sabiedriskās domas pētījumu vadīšanā, no kuriem </w:t>
      </w:r>
      <w:r w:rsidRPr="00CB326B">
        <w:rPr>
          <w:lang w:val="lv-LV"/>
        </w:rPr>
        <w:t>vismaz 1 (viens) no šiem pētījumiem veikts valsts pārvaldes iestāžu vajadzībām</w:t>
      </w:r>
      <w:r>
        <w:rPr>
          <w:lang w:val="lv-LV"/>
        </w:rPr>
        <w:t>. Līdz ar to pretendenta kvalifikācija atbilst Nolikuma prasībām.</w:t>
      </w:r>
    </w:p>
    <w:p w:rsidR="00CE06F9" w:rsidRDefault="00CE06F9" w:rsidP="00235F4B">
      <w:pPr>
        <w:ind w:firstLine="720"/>
        <w:jc w:val="both"/>
        <w:rPr>
          <w:shd w:val="clear" w:color="auto" w:fill="FFFFFF"/>
          <w:lang w:val="lv-LV"/>
        </w:rPr>
      </w:pPr>
      <w:r>
        <w:rPr>
          <w:lang w:val="lv-LV"/>
        </w:rPr>
        <w:t>Komisija, izskatot pretendentu pieteikumus, konstatē</w:t>
      </w:r>
      <w:r w:rsidR="00235F4B">
        <w:rPr>
          <w:lang w:val="lv-LV"/>
        </w:rPr>
        <w:t>,</w:t>
      </w:r>
      <w:r>
        <w:rPr>
          <w:lang w:val="lv-LV"/>
        </w:rPr>
        <w:t xml:space="preserve"> ka pretendenti savas pieredzes apliecināšanai balstās uz citu personu iespējām, to speciālistiem u.c. profesionālajām spējām. </w:t>
      </w:r>
      <w:r w:rsidR="004A4253">
        <w:rPr>
          <w:lang w:val="lv-LV"/>
        </w:rPr>
        <w:t>S</w:t>
      </w:r>
      <w:r>
        <w:rPr>
          <w:lang w:val="lv-LV"/>
        </w:rPr>
        <w:t xml:space="preserve">askaņā ar </w:t>
      </w:r>
      <w:r w:rsidR="00235F4B">
        <w:rPr>
          <w:lang w:val="lv-LV"/>
        </w:rPr>
        <w:t>Likuma</w:t>
      </w:r>
      <w:r>
        <w:rPr>
          <w:lang w:val="lv-LV"/>
        </w:rPr>
        <w:t xml:space="preserve"> </w:t>
      </w:r>
      <w:proofErr w:type="gramStart"/>
      <w:r>
        <w:rPr>
          <w:lang w:val="lv-LV"/>
        </w:rPr>
        <w:t>46.panta</w:t>
      </w:r>
      <w:proofErr w:type="gramEnd"/>
      <w:r>
        <w:rPr>
          <w:lang w:val="lv-LV"/>
        </w:rPr>
        <w:t xml:space="preserve"> 4.daļu</w:t>
      </w:r>
      <w:r w:rsidRPr="009F316B">
        <w:rPr>
          <w:lang w:val="lv-LV"/>
        </w:rPr>
        <w:t xml:space="preserve">: </w:t>
      </w:r>
      <w:r w:rsidRPr="00C0133E">
        <w:rPr>
          <w:shd w:val="clear" w:color="auto" w:fill="FFFFFF"/>
          <w:lang w:val="lv-LV"/>
        </w:rPr>
        <w:t>"</w:t>
      </w:r>
      <w:r w:rsidRPr="009F316B">
        <w:rPr>
          <w:lang w:val="lv-LV"/>
        </w:rPr>
        <w:t>Piegādātājs var balstīties uz citu personu tehniskajām un profesionālajām iespējām, ja tas ir nepieciešams konkrētā iepirkuma līguma izpildei, neatkarīgi no savstarpējo attiecību tiesiskā rakstura. Šādā gadījumā piegādātājs pierāda pasūtītājam, ka tā rīcībā būs nepieciešamie resursi, iesniedzot šo personu apliecinājumu vai vienošanos par nepieciešamo resursu nodošanu piegādātāja rīcībā. Piegādātājs, lai apliecinātu profesionālo pieredzi vai pasūtītāja prasībām atbilstoša personāla pieejamību, var balstīties uz citu personu iespējām tikai tad, ja šīs personas veiks būvdarbus vai sniegs pakalpojumus, kuru izpildei attiecīgās spējas ir nepieciešamas.</w:t>
      </w:r>
      <w:r w:rsidRPr="00C0133E">
        <w:rPr>
          <w:shd w:val="clear" w:color="auto" w:fill="FFFFFF"/>
          <w:lang w:val="lv-LV"/>
        </w:rPr>
        <w:t>"</w:t>
      </w:r>
    </w:p>
    <w:p w:rsidR="00235F4B" w:rsidRPr="00235F4B" w:rsidRDefault="00CE06F9" w:rsidP="00235F4B">
      <w:pPr>
        <w:ind w:firstLine="720"/>
        <w:jc w:val="both"/>
        <w:rPr>
          <w:lang w:val="lv-LV"/>
        </w:rPr>
      </w:pPr>
      <w:r>
        <w:rPr>
          <w:shd w:val="clear" w:color="auto" w:fill="FFFFFF"/>
          <w:lang w:val="lv-LV"/>
        </w:rPr>
        <w:t>Pretendenti ir iesnieguši attiecīgos apliecinājumus. Komisija secina, ka pretendenti iesnieguši Nolikumā noteiktos pretendentu atlases dokumentus un to kvalifikācija atbilst nolikuma prasībām.</w:t>
      </w:r>
    </w:p>
    <w:p w:rsidR="00295687" w:rsidRPr="00295687" w:rsidRDefault="00295687" w:rsidP="00235F4B">
      <w:pPr>
        <w:ind w:firstLine="720"/>
        <w:jc w:val="both"/>
        <w:rPr>
          <w:rFonts w:eastAsia="Calibri"/>
          <w:noProof/>
          <w:color w:val="00000A"/>
          <w:lang w:val="lv-LV"/>
        </w:rPr>
      </w:pPr>
      <w:r w:rsidRPr="00295687">
        <w:rPr>
          <w:rFonts w:eastAsia="Calibri"/>
          <w:noProof/>
          <w:color w:val="00000A"/>
          <w:lang w:val="lv-LV"/>
        </w:rPr>
        <w:t>Pārliecinājusies, ka visi pretendenti atbilst kvalifikācijas prasībām, Komisija pāriet pie piedāvājumu vērtēšanas. Komisija pārliecinās vai zemāko cenu iesniegušā pretendenta SIA "Comperio" finanšu piedāvājums nav nepamatoti lēts. Pirms iepirkuma veikšanas tika veikta līdzīgu pakalpojumu tirgus priekšizpēte.  SIA "Comperio" finanšu piedāvājums ir atbilstošs vidējām tirgus cenām šāda veida pakalpojumiem.</w:t>
      </w:r>
    </w:p>
    <w:p w:rsidR="00295687" w:rsidRDefault="00295687" w:rsidP="00235F4B">
      <w:pPr>
        <w:ind w:firstLine="720"/>
        <w:jc w:val="both"/>
        <w:rPr>
          <w:rFonts w:eastAsia="Calibri"/>
          <w:noProof/>
          <w:color w:val="00000A"/>
          <w:lang w:val="lv-LV"/>
        </w:rPr>
      </w:pPr>
      <w:r w:rsidRPr="00295687">
        <w:rPr>
          <w:rFonts w:eastAsia="Calibri"/>
          <w:noProof/>
          <w:color w:val="00000A"/>
          <w:lang w:val="lv-LV"/>
        </w:rPr>
        <w:t xml:space="preserve">SIA "Comperio" 2017. gada novembrī veicis pakalpojumu "Komunikācijas stratēģija Tieslietu ministrijai kā ES fondu 2014.  – 2020.  gada plānošanas perioda atbildīgajai iestādei par tās pārziņā esošajiem projektiem “Resocializācijas sistēmas efektivitātes paaugstināšana" un "Bijušo ieslodzīto integrācija sabiedrībā un darba tirgū" Tieslietu ministrijas vajadzībām (turpmāk – TM stratēģija). Komisija iepazinusies ar minēto stratēģiju, secina, ka TM stratēģijas mērķis bija informēt sabiedrību par Pārvaldes īstenotajiem ESF projektiem un resocializācijas pasākumu nozīmīgumu, kā arī informēt Pārvaldes darbiniekus par projektu pasākumiem, veidojot to izpratni par sistēmas jauninājumiem. Savukārt pakalpojuma šā iepirkuma ietvaros t.sk. stratēģijas izstrādes mērķis ir mazināt sabiedrībā esošos aizspriedumus par notiesātajiem un ieinteresēt sabiedrību iesaistīties un līdzdarboties, sekmējot notiesāto integrāciju sabiedrībā un darba tirgū, t.i. iepirkuma priekšmetā paredzētās stratēģijas mērķis ir veikt pētījumu un sniegt priekšlikumus konkrētā projektu jomā. Turklāt TM stratēģijā norādītā informācija ir iestrādāta Iepirkuma Tehniskajā specifikācijā, tajā norādītie dati balstīti uz citu piegādātāju veiktajām aptaujām, un arī pati TM stratēģija ir pieejama piegādātājiem. Līdz ar to, komisija </w:t>
      </w:r>
      <w:r w:rsidRPr="00295687">
        <w:rPr>
          <w:rFonts w:eastAsia="Calibri"/>
          <w:noProof/>
          <w:color w:val="00000A"/>
          <w:lang w:val="lv-LV"/>
        </w:rPr>
        <w:lastRenderedPageBreak/>
        <w:t xml:space="preserve">secina, ka tas, ka SIA "Comperio" izstrādājis TM stratēģiju, nerada pretendentam tādas priekšrocības, lai būtu pamats lemt par pretendenta noraidīšanu, kā tikai tādas, kas ir jebkuram piegādātājam, kurš darbojies līdzīgā jomā un līdzīgu pakalpojumu sniegšanā arī iepriekš.   </w:t>
      </w:r>
    </w:p>
    <w:p w:rsidR="006717CE" w:rsidRDefault="006717CE" w:rsidP="00295687">
      <w:pPr>
        <w:ind w:firstLine="720"/>
        <w:rPr>
          <w:rFonts w:eastAsia="Calibri"/>
          <w:noProof/>
          <w:color w:val="00000A"/>
          <w:lang w:val="lv-LV"/>
        </w:rPr>
      </w:pPr>
    </w:p>
    <w:p w:rsidR="006717CE" w:rsidRDefault="006717CE" w:rsidP="006717CE">
      <w:pPr>
        <w:pStyle w:val="BodyTextIndent2"/>
        <w:spacing w:before="120"/>
        <w:ind w:right="-283" w:firstLine="0"/>
        <w:rPr>
          <w:b/>
          <w:sz w:val="24"/>
        </w:rPr>
      </w:pPr>
      <w:r>
        <w:rPr>
          <w:b/>
          <w:sz w:val="24"/>
        </w:rPr>
        <w:t>5. Pretendentu nosaukumi, kuri iesniedza piedāvājumus, kā arī piedāvātās cenas</w:t>
      </w:r>
      <w:r w:rsidR="00235F4B">
        <w:rPr>
          <w:b/>
          <w:sz w:val="24"/>
        </w:rPr>
        <w:t>,</w:t>
      </w:r>
      <w:r>
        <w:rPr>
          <w:b/>
          <w:sz w:val="24"/>
        </w:rPr>
        <w:t xml:space="preserve"> un </w:t>
      </w:r>
      <w:r w:rsidRPr="00511661">
        <w:rPr>
          <w:b/>
          <w:sz w:val="24"/>
        </w:rPr>
        <w:t>pārbaud</w:t>
      </w:r>
      <w:r>
        <w:rPr>
          <w:b/>
          <w:sz w:val="24"/>
        </w:rPr>
        <w:t>es rezultāti</w:t>
      </w:r>
      <w:r w:rsidRPr="00511661">
        <w:rPr>
          <w:b/>
          <w:sz w:val="24"/>
        </w:rPr>
        <w:t xml:space="preserve"> attiecībā uz pretendentu, kuram būtu piešķiramas līguma slēgšanas tiesība</w:t>
      </w:r>
      <w:r>
        <w:rPr>
          <w:b/>
          <w:sz w:val="24"/>
        </w:rPr>
        <w:t>s</w:t>
      </w:r>
      <w:r w:rsidRPr="00511661">
        <w:rPr>
          <w:b/>
          <w:sz w:val="24"/>
        </w:rPr>
        <w:t>:</w:t>
      </w:r>
    </w:p>
    <w:p w:rsidR="006717CE" w:rsidRDefault="006717CE" w:rsidP="006717CE">
      <w:pPr>
        <w:pStyle w:val="BodyTextIndent2"/>
        <w:spacing w:after="120"/>
        <w:ind w:right="-908" w:firstLine="567"/>
        <w:rPr>
          <w:sz w:val="24"/>
        </w:rPr>
      </w:pPr>
      <w:r>
        <w:rPr>
          <w:sz w:val="24"/>
        </w:rPr>
        <w:t>Pretendentu finanšu piedāvājumi</w:t>
      </w:r>
      <w:r w:rsidRPr="00C81950">
        <w:rPr>
          <w:sz w:val="24"/>
        </w:rPr>
        <w:t>:</w:t>
      </w:r>
    </w:p>
    <w:p w:rsidR="006717CE" w:rsidRDefault="006717CE" w:rsidP="006717CE">
      <w:pPr>
        <w:tabs>
          <w:tab w:val="left" w:pos="851"/>
          <w:tab w:val="left" w:pos="993"/>
        </w:tabs>
        <w:rPr>
          <w:lang w:val="lv-LV"/>
        </w:rPr>
      </w:pPr>
    </w:p>
    <w:tbl>
      <w:tblPr>
        <w:tblW w:w="9266" w:type="dxa"/>
        <w:jc w:val="center"/>
        <w:tblLook w:val="04A0" w:firstRow="1" w:lastRow="0" w:firstColumn="1" w:lastColumn="0" w:noHBand="0" w:noVBand="1"/>
      </w:tblPr>
      <w:tblGrid>
        <w:gridCol w:w="690"/>
        <w:gridCol w:w="1372"/>
        <w:gridCol w:w="1528"/>
        <w:gridCol w:w="1767"/>
        <w:gridCol w:w="1653"/>
        <w:gridCol w:w="996"/>
        <w:gridCol w:w="1260"/>
      </w:tblGrid>
      <w:tr w:rsidR="006717CE" w:rsidRPr="0071349E" w:rsidTr="005D3E3E">
        <w:trPr>
          <w:trHeight w:val="1200"/>
          <w:jc w:val="center"/>
        </w:trPr>
        <w:tc>
          <w:tcPr>
            <w:tcW w:w="6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17CE" w:rsidRPr="0071349E" w:rsidRDefault="006717CE" w:rsidP="005D3E3E">
            <w:pPr>
              <w:rPr>
                <w:color w:val="000000"/>
                <w:lang w:val="lv-LV" w:eastAsia="lv-LV"/>
              </w:rPr>
            </w:pPr>
            <w:r w:rsidRPr="00542BF5">
              <w:rPr>
                <w:color w:val="000000"/>
                <w:lang w:val="lv-LV" w:eastAsia="lv-LV"/>
              </w:rPr>
              <w:t>Nr.</w:t>
            </w:r>
          </w:p>
          <w:p w:rsidR="006717CE" w:rsidRPr="0071349E" w:rsidRDefault="006717CE" w:rsidP="005D3E3E">
            <w:pPr>
              <w:rPr>
                <w:color w:val="000000"/>
                <w:lang w:val="lv-LV" w:eastAsia="lv-LV"/>
              </w:rPr>
            </w:pPr>
            <w:r w:rsidRPr="00542BF5">
              <w:rPr>
                <w:color w:val="000000"/>
                <w:lang w:val="lv-LV" w:eastAsia="lv-LV"/>
              </w:rPr>
              <w:t>p.</w:t>
            </w:r>
          </w:p>
          <w:p w:rsidR="006717CE" w:rsidRPr="00542BF5" w:rsidRDefault="006717CE" w:rsidP="005D3E3E">
            <w:pPr>
              <w:rPr>
                <w:color w:val="000000"/>
                <w:lang w:val="lv-LV" w:eastAsia="lv-LV"/>
              </w:rPr>
            </w:pPr>
            <w:r w:rsidRPr="00542BF5">
              <w:rPr>
                <w:color w:val="000000"/>
                <w:lang w:val="lv-LV" w:eastAsia="lv-LV"/>
              </w:rPr>
              <w:t>k.</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rsidR="006717CE" w:rsidRPr="00542BF5" w:rsidRDefault="006717CE" w:rsidP="005D3E3E">
            <w:pPr>
              <w:jc w:val="center"/>
              <w:rPr>
                <w:color w:val="000000"/>
                <w:lang w:val="lv-LV" w:eastAsia="lv-LV"/>
              </w:rPr>
            </w:pPr>
            <w:r w:rsidRPr="00542BF5">
              <w:rPr>
                <w:color w:val="000000"/>
                <w:lang w:val="lv-LV" w:eastAsia="lv-LV"/>
              </w:rPr>
              <w:t>Pretendents</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6717CE" w:rsidRDefault="006717CE" w:rsidP="005D3E3E">
            <w:pPr>
              <w:jc w:val="center"/>
              <w:rPr>
                <w:color w:val="000000"/>
                <w:lang w:val="lv-LV" w:eastAsia="lv-LV"/>
              </w:rPr>
            </w:pPr>
            <w:r w:rsidRPr="00542BF5">
              <w:rPr>
                <w:color w:val="000000"/>
                <w:lang w:val="lv-LV" w:eastAsia="lv-LV"/>
              </w:rPr>
              <w:t>1.pozīcija "Sabiedriskās domas pētījums"</w:t>
            </w:r>
          </w:p>
          <w:p w:rsidR="006717CE" w:rsidRPr="00542BF5" w:rsidRDefault="006717CE" w:rsidP="005D3E3E">
            <w:pPr>
              <w:jc w:val="center"/>
              <w:rPr>
                <w:color w:val="000000"/>
                <w:lang w:val="lv-LV" w:eastAsia="lv-LV"/>
              </w:rPr>
            </w:pPr>
            <w:r w:rsidRPr="00542BF5">
              <w:rPr>
                <w:color w:val="000000"/>
                <w:lang w:val="lv-LV" w:eastAsia="lv-LV"/>
              </w:rPr>
              <w:t>EUR, bez PVN</w:t>
            </w:r>
          </w:p>
        </w:tc>
        <w:tc>
          <w:tcPr>
            <w:tcW w:w="1767" w:type="dxa"/>
            <w:tcBorders>
              <w:top w:val="single" w:sz="4" w:space="0" w:color="auto"/>
              <w:left w:val="nil"/>
              <w:bottom w:val="single" w:sz="4" w:space="0" w:color="auto"/>
              <w:right w:val="single" w:sz="4" w:space="0" w:color="auto"/>
            </w:tcBorders>
            <w:shd w:val="clear" w:color="auto" w:fill="auto"/>
            <w:vAlign w:val="center"/>
            <w:hideMark/>
          </w:tcPr>
          <w:p w:rsidR="006717CE" w:rsidRDefault="006717CE" w:rsidP="005D3E3E">
            <w:pPr>
              <w:jc w:val="center"/>
              <w:rPr>
                <w:color w:val="000000"/>
                <w:lang w:val="lv-LV" w:eastAsia="lv-LV"/>
              </w:rPr>
            </w:pPr>
            <w:r w:rsidRPr="00542BF5">
              <w:rPr>
                <w:color w:val="000000"/>
                <w:lang w:val="lv-LV" w:eastAsia="lv-LV"/>
              </w:rPr>
              <w:t>2.pozīcija "Komunikācijas stratēģijas izstrāde"</w:t>
            </w:r>
          </w:p>
          <w:p w:rsidR="006717CE" w:rsidRPr="00542BF5" w:rsidRDefault="006717CE" w:rsidP="005D3E3E">
            <w:pPr>
              <w:jc w:val="center"/>
              <w:rPr>
                <w:color w:val="000000"/>
                <w:lang w:val="lv-LV" w:eastAsia="lv-LV"/>
              </w:rPr>
            </w:pPr>
            <w:r w:rsidRPr="00542BF5">
              <w:rPr>
                <w:color w:val="000000"/>
                <w:lang w:val="lv-LV" w:eastAsia="lv-LV"/>
              </w:rPr>
              <w:t>EUR, bez PVN</w:t>
            </w:r>
          </w:p>
        </w:tc>
        <w:tc>
          <w:tcPr>
            <w:tcW w:w="1653" w:type="dxa"/>
            <w:tcBorders>
              <w:top w:val="single" w:sz="4" w:space="0" w:color="auto"/>
              <w:left w:val="nil"/>
              <w:bottom w:val="single" w:sz="4" w:space="0" w:color="auto"/>
              <w:right w:val="single" w:sz="4" w:space="0" w:color="auto"/>
            </w:tcBorders>
            <w:shd w:val="clear" w:color="auto" w:fill="auto"/>
            <w:vAlign w:val="center"/>
            <w:hideMark/>
          </w:tcPr>
          <w:p w:rsidR="006717CE" w:rsidRPr="00542BF5" w:rsidRDefault="006717CE" w:rsidP="005D3E3E">
            <w:pPr>
              <w:jc w:val="center"/>
              <w:rPr>
                <w:b/>
                <w:color w:val="000000"/>
                <w:lang w:val="lv-LV" w:eastAsia="lv-LV"/>
              </w:rPr>
            </w:pPr>
            <w:r w:rsidRPr="00542BF5">
              <w:rPr>
                <w:b/>
                <w:color w:val="000000"/>
                <w:lang w:val="lv-LV" w:eastAsia="lv-LV"/>
              </w:rPr>
              <w:t>Kopā</w:t>
            </w:r>
            <w:proofErr w:type="gramStart"/>
            <w:r w:rsidRPr="00542BF5">
              <w:rPr>
                <w:b/>
                <w:color w:val="000000"/>
                <w:lang w:val="lv-LV" w:eastAsia="lv-LV"/>
              </w:rPr>
              <w:t xml:space="preserve">  </w:t>
            </w:r>
            <w:proofErr w:type="gramEnd"/>
            <w:r w:rsidRPr="00542BF5">
              <w:rPr>
                <w:b/>
                <w:color w:val="000000"/>
                <w:lang w:val="lv-LV" w:eastAsia="lv-LV"/>
              </w:rPr>
              <w:t>EUR, bez PVN</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6717CE" w:rsidRPr="00542BF5" w:rsidRDefault="006717CE" w:rsidP="005D3E3E">
            <w:pPr>
              <w:jc w:val="center"/>
              <w:rPr>
                <w:color w:val="000000"/>
                <w:lang w:val="lv-LV" w:eastAsia="lv-LV"/>
              </w:rPr>
            </w:pPr>
            <w:r w:rsidRPr="00542BF5">
              <w:rPr>
                <w:color w:val="000000"/>
                <w:lang w:val="lv-LV" w:eastAsia="lv-LV"/>
              </w:rPr>
              <w:t xml:space="preserve">PVN 21%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6717CE" w:rsidRPr="00542BF5" w:rsidRDefault="006717CE" w:rsidP="005D3E3E">
            <w:pPr>
              <w:jc w:val="center"/>
              <w:rPr>
                <w:color w:val="000000"/>
                <w:lang w:val="lv-LV" w:eastAsia="lv-LV"/>
              </w:rPr>
            </w:pPr>
            <w:r w:rsidRPr="00542BF5">
              <w:rPr>
                <w:color w:val="000000"/>
                <w:lang w:val="lv-LV" w:eastAsia="lv-LV"/>
              </w:rPr>
              <w:t>Kopā EUR ar PVN</w:t>
            </w:r>
          </w:p>
        </w:tc>
      </w:tr>
      <w:tr w:rsidR="006717CE" w:rsidRPr="0071349E" w:rsidTr="005D3E3E">
        <w:trPr>
          <w:trHeight w:val="522"/>
          <w:jc w:val="center"/>
        </w:trPr>
        <w:tc>
          <w:tcPr>
            <w:tcW w:w="690" w:type="dxa"/>
            <w:tcBorders>
              <w:top w:val="nil"/>
              <w:left w:val="single" w:sz="4" w:space="0" w:color="auto"/>
              <w:bottom w:val="single" w:sz="4" w:space="0" w:color="auto"/>
              <w:right w:val="single" w:sz="4" w:space="0" w:color="auto"/>
            </w:tcBorders>
            <w:shd w:val="clear" w:color="auto" w:fill="auto"/>
            <w:noWrap/>
            <w:vAlign w:val="center"/>
            <w:hideMark/>
          </w:tcPr>
          <w:p w:rsidR="006717CE" w:rsidRPr="00542BF5" w:rsidRDefault="006717CE" w:rsidP="005D3E3E">
            <w:pPr>
              <w:rPr>
                <w:color w:val="000000"/>
                <w:lang w:val="lv-LV" w:eastAsia="lv-LV"/>
              </w:rPr>
            </w:pPr>
            <w:r w:rsidRPr="00542BF5">
              <w:rPr>
                <w:color w:val="000000"/>
                <w:lang w:val="lv-LV" w:eastAsia="lv-LV"/>
              </w:rPr>
              <w:t>1.</w:t>
            </w:r>
          </w:p>
        </w:tc>
        <w:tc>
          <w:tcPr>
            <w:tcW w:w="1372"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rPr>
                <w:color w:val="000000"/>
                <w:lang w:val="lv-LV" w:eastAsia="lv-LV"/>
              </w:rPr>
            </w:pPr>
            <w:r w:rsidRPr="00542BF5">
              <w:rPr>
                <w:color w:val="000000"/>
                <w:lang w:val="lv-LV" w:eastAsia="lv-LV"/>
              </w:rPr>
              <w:t>SIA "</w:t>
            </w:r>
            <w:proofErr w:type="spellStart"/>
            <w:r w:rsidRPr="00542BF5">
              <w:rPr>
                <w:color w:val="000000"/>
                <w:lang w:val="lv-LV" w:eastAsia="lv-LV"/>
              </w:rPr>
              <w:t>Comperio</w:t>
            </w:r>
            <w:proofErr w:type="spellEnd"/>
            <w:r w:rsidRPr="00542BF5">
              <w:rPr>
                <w:color w:val="000000"/>
                <w:lang w:val="lv-LV" w:eastAsia="lv-LV"/>
              </w:rPr>
              <w:t>"</w:t>
            </w:r>
          </w:p>
        </w:tc>
        <w:tc>
          <w:tcPr>
            <w:tcW w:w="1528"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jc w:val="right"/>
              <w:rPr>
                <w:color w:val="000000"/>
                <w:lang w:val="lv-LV" w:eastAsia="lv-LV"/>
              </w:rPr>
            </w:pPr>
            <w:r w:rsidRPr="00542BF5">
              <w:rPr>
                <w:color w:val="000000"/>
                <w:lang w:val="lv-LV" w:eastAsia="lv-LV"/>
              </w:rPr>
              <w:t>16</w:t>
            </w:r>
            <w:r w:rsidRPr="0071349E">
              <w:rPr>
                <w:color w:val="000000"/>
                <w:lang w:val="lv-LV" w:eastAsia="lv-LV"/>
              </w:rPr>
              <w:t xml:space="preserve"> </w:t>
            </w:r>
            <w:r w:rsidRPr="00542BF5">
              <w:rPr>
                <w:color w:val="000000"/>
                <w:lang w:val="lv-LV" w:eastAsia="lv-LV"/>
              </w:rPr>
              <w:t>690,00</w:t>
            </w:r>
          </w:p>
        </w:tc>
        <w:tc>
          <w:tcPr>
            <w:tcW w:w="1767"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jc w:val="right"/>
              <w:rPr>
                <w:color w:val="000000"/>
                <w:lang w:val="lv-LV" w:eastAsia="lv-LV"/>
              </w:rPr>
            </w:pPr>
            <w:r w:rsidRPr="00542BF5">
              <w:rPr>
                <w:color w:val="000000"/>
                <w:lang w:val="lv-LV" w:eastAsia="lv-LV"/>
              </w:rPr>
              <w:t>3300,00</w:t>
            </w:r>
          </w:p>
        </w:tc>
        <w:tc>
          <w:tcPr>
            <w:tcW w:w="1653"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jc w:val="right"/>
              <w:rPr>
                <w:b/>
                <w:color w:val="000000"/>
                <w:lang w:val="lv-LV" w:eastAsia="lv-LV"/>
              </w:rPr>
            </w:pPr>
            <w:r w:rsidRPr="00542BF5">
              <w:rPr>
                <w:b/>
                <w:color w:val="000000"/>
                <w:lang w:val="lv-LV" w:eastAsia="lv-LV"/>
              </w:rPr>
              <w:t>19</w:t>
            </w:r>
            <w:r w:rsidRPr="0071349E">
              <w:rPr>
                <w:b/>
                <w:color w:val="000000"/>
                <w:lang w:val="lv-LV" w:eastAsia="lv-LV"/>
              </w:rPr>
              <w:t xml:space="preserve"> </w:t>
            </w:r>
            <w:r w:rsidRPr="00542BF5">
              <w:rPr>
                <w:b/>
                <w:color w:val="000000"/>
                <w:lang w:val="lv-LV" w:eastAsia="lv-LV"/>
              </w:rPr>
              <w:t>990,00</w:t>
            </w:r>
          </w:p>
        </w:tc>
        <w:tc>
          <w:tcPr>
            <w:tcW w:w="996"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jc w:val="right"/>
              <w:rPr>
                <w:color w:val="000000"/>
                <w:lang w:val="lv-LV" w:eastAsia="lv-LV"/>
              </w:rPr>
            </w:pPr>
            <w:r w:rsidRPr="00542BF5">
              <w:rPr>
                <w:color w:val="000000"/>
                <w:lang w:val="lv-LV" w:eastAsia="lv-LV"/>
              </w:rPr>
              <w:t>4197,90</w:t>
            </w:r>
          </w:p>
        </w:tc>
        <w:tc>
          <w:tcPr>
            <w:tcW w:w="1260"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jc w:val="right"/>
              <w:rPr>
                <w:color w:val="000000"/>
                <w:lang w:val="lv-LV" w:eastAsia="lv-LV"/>
              </w:rPr>
            </w:pPr>
            <w:r w:rsidRPr="00542BF5">
              <w:rPr>
                <w:color w:val="000000"/>
                <w:lang w:val="lv-LV" w:eastAsia="lv-LV"/>
              </w:rPr>
              <w:t>24</w:t>
            </w:r>
            <w:r w:rsidRPr="0071349E">
              <w:rPr>
                <w:color w:val="000000"/>
                <w:lang w:val="lv-LV" w:eastAsia="lv-LV"/>
              </w:rPr>
              <w:t xml:space="preserve"> </w:t>
            </w:r>
            <w:r w:rsidRPr="00542BF5">
              <w:rPr>
                <w:color w:val="000000"/>
                <w:lang w:val="lv-LV" w:eastAsia="lv-LV"/>
              </w:rPr>
              <w:t>187,90</w:t>
            </w:r>
          </w:p>
        </w:tc>
      </w:tr>
      <w:tr w:rsidR="006717CE" w:rsidRPr="0071349E" w:rsidTr="005D3E3E">
        <w:trPr>
          <w:trHeight w:val="699"/>
          <w:jc w:val="center"/>
        </w:trPr>
        <w:tc>
          <w:tcPr>
            <w:tcW w:w="690" w:type="dxa"/>
            <w:tcBorders>
              <w:top w:val="nil"/>
              <w:left w:val="single" w:sz="4" w:space="0" w:color="auto"/>
              <w:bottom w:val="single" w:sz="4" w:space="0" w:color="auto"/>
              <w:right w:val="single" w:sz="4" w:space="0" w:color="auto"/>
            </w:tcBorders>
            <w:shd w:val="clear" w:color="auto" w:fill="auto"/>
            <w:noWrap/>
            <w:vAlign w:val="center"/>
            <w:hideMark/>
          </w:tcPr>
          <w:p w:rsidR="006717CE" w:rsidRPr="00542BF5" w:rsidRDefault="006717CE" w:rsidP="005D3E3E">
            <w:pPr>
              <w:rPr>
                <w:color w:val="000000"/>
                <w:lang w:val="lv-LV" w:eastAsia="lv-LV"/>
              </w:rPr>
            </w:pPr>
            <w:r w:rsidRPr="00542BF5">
              <w:rPr>
                <w:color w:val="000000"/>
                <w:lang w:val="lv-LV" w:eastAsia="lv-LV"/>
              </w:rPr>
              <w:t>2.</w:t>
            </w:r>
          </w:p>
        </w:tc>
        <w:tc>
          <w:tcPr>
            <w:tcW w:w="1372"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rPr>
                <w:color w:val="000000"/>
                <w:lang w:val="lv-LV" w:eastAsia="lv-LV"/>
              </w:rPr>
            </w:pPr>
            <w:r w:rsidRPr="00542BF5">
              <w:rPr>
                <w:color w:val="000000"/>
                <w:lang w:val="lv-LV" w:eastAsia="lv-LV"/>
              </w:rPr>
              <w:t xml:space="preserve">SIA "Berg </w:t>
            </w:r>
            <w:proofErr w:type="spellStart"/>
            <w:r w:rsidRPr="00542BF5">
              <w:rPr>
                <w:color w:val="000000"/>
                <w:lang w:val="lv-LV" w:eastAsia="lv-LV"/>
              </w:rPr>
              <w:t>Research</w:t>
            </w:r>
            <w:proofErr w:type="spellEnd"/>
            <w:r w:rsidRPr="00542BF5">
              <w:rPr>
                <w:color w:val="000000"/>
                <w:lang w:val="lv-LV" w:eastAsia="lv-LV"/>
              </w:rPr>
              <w:t>"</w:t>
            </w:r>
          </w:p>
        </w:tc>
        <w:tc>
          <w:tcPr>
            <w:tcW w:w="1528"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jc w:val="right"/>
              <w:rPr>
                <w:color w:val="000000"/>
                <w:lang w:val="lv-LV" w:eastAsia="lv-LV"/>
              </w:rPr>
            </w:pPr>
            <w:r w:rsidRPr="0071349E">
              <w:rPr>
                <w:color w:val="000000"/>
                <w:lang w:val="lv-LV" w:eastAsia="lv-LV"/>
              </w:rPr>
              <w:t>30 9</w:t>
            </w:r>
            <w:r w:rsidRPr="00542BF5">
              <w:rPr>
                <w:color w:val="000000"/>
                <w:lang w:val="lv-LV" w:eastAsia="lv-LV"/>
              </w:rPr>
              <w:t>12,00</w:t>
            </w:r>
          </w:p>
        </w:tc>
        <w:tc>
          <w:tcPr>
            <w:tcW w:w="1767"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jc w:val="right"/>
              <w:rPr>
                <w:color w:val="000000"/>
                <w:lang w:val="lv-LV" w:eastAsia="lv-LV"/>
              </w:rPr>
            </w:pPr>
            <w:r w:rsidRPr="00542BF5">
              <w:rPr>
                <w:color w:val="000000"/>
                <w:lang w:val="lv-LV" w:eastAsia="lv-LV"/>
              </w:rPr>
              <w:t>4800,00</w:t>
            </w:r>
          </w:p>
        </w:tc>
        <w:tc>
          <w:tcPr>
            <w:tcW w:w="1653"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jc w:val="right"/>
              <w:rPr>
                <w:b/>
                <w:color w:val="000000"/>
                <w:lang w:val="lv-LV" w:eastAsia="lv-LV"/>
              </w:rPr>
            </w:pPr>
            <w:r w:rsidRPr="00542BF5">
              <w:rPr>
                <w:b/>
                <w:color w:val="000000"/>
                <w:lang w:val="lv-LV" w:eastAsia="lv-LV"/>
              </w:rPr>
              <w:t>35</w:t>
            </w:r>
            <w:r w:rsidRPr="0071349E">
              <w:rPr>
                <w:b/>
                <w:color w:val="000000"/>
                <w:lang w:val="lv-LV" w:eastAsia="lv-LV"/>
              </w:rPr>
              <w:t xml:space="preserve"> </w:t>
            </w:r>
            <w:r w:rsidRPr="00542BF5">
              <w:rPr>
                <w:b/>
                <w:color w:val="000000"/>
                <w:lang w:val="lv-LV" w:eastAsia="lv-LV"/>
              </w:rPr>
              <w:t>712,00</w:t>
            </w:r>
          </w:p>
        </w:tc>
        <w:tc>
          <w:tcPr>
            <w:tcW w:w="996"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jc w:val="right"/>
              <w:rPr>
                <w:color w:val="000000"/>
                <w:lang w:val="lv-LV" w:eastAsia="lv-LV"/>
              </w:rPr>
            </w:pPr>
            <w:r w:rsidRPr="00542BF5">
              <w:rPr>
                <w:color w:val="000000"/>
                <w:lang w:val="lv-LV" w:eastAsia="lv-LV"/>
              </w:rPr>
              <w:t>7499,52</w:t>
            </w:r>
          </w:p>
        </w:tc>
        <w:tc>
          <w:tcPr>
            <w:tcW w:w="1260"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jc w:val="right"/>
              <w:rPr>
                <w:color w:val="000000"/>
                <w:lang w:val="lv-LV" w:eastAsia="lv-LV"/>
              </w:rPr>
            </w:pPr>
            <w:r w:rsidRPr="00542BF5">
              <w:rPr>
                <w:color w:val="000000"/>
                <w:lang w:val="lv-LV" w:eastAsia="lv-LV"/>
              </w:rPr>
              <w:t>43</w:t>
            </w:r>
            <w:r w:rsidRPr="0071349E">
              <w:rPr>
                <w:color w:val="000000"/>
                <w:lang w:val="lv-LV" w:eastAsia="lv-LV"/>
              </w:rPr>
              <w:t xml:space="preserve"> </w:t>
            </w:r>
            <w:r w:rsidRPr="00542BF5">
              <w:rPr>
                <w:color w:val="000000"/>
                <w:lang w:val="lv-LV" w:eastAsia="lv-LV"/>
              </w:rPr>
              <w:t>211,52</w:t>
            </w:r>
          </w:p>
        </w:tc>
      </w:tr>
      <w:tr w:rsidR="006717CE" w:rsidRPr="0071349E" w:rsidTr="005D3E3E">
        <w:trPr>
          <w:trHeight w:val="818"/>
          <w:jc w:val="center"/>
        </w:trPr>
        <w:tc>
          <w:tcPr>
            <w:tcW w:w="690" w:type="dxa"/>
            <w:tcBorders>
              <w:top w:val="nil"/>
              <w:left w:val="single" w:sz="4" w:space="0" w:color="auto"/>
              <w:bottom w:val="single" w:sz="4" w:space="0" w:color="auto"/>
              <w:right w:val="single" w:sz="4" w:space="0" w:color="auto"/>
            </w:tcBorders>
            <w:shd w:val="clear" w:color="auto" w:fill="auto"/>
            <w:noWrap/>
            <w:vAlign w:val="center"/>
            <w:hideMark/>
          </w:tcPr>
          <w:p w:rsidR="006717CE" w:rsidRPr="00542BF5" w:rsidRDefault="006717CE" w:rsidP="005D3E3E">
            <w:pPr>
              <w:rPr>
                <w:color w:val="000000"/>
                <w:lang w:val="lv-LV" w:eastAsia="lv-LV"/>
              </w:rPr>
            </w:pPr>
            <w:r w:rsidRPr="00542BF5">
              <w:rPr>
                <w:color w:val="000000"/>
                <w:lang w:val="lv-LV" w:eastAsia="lv-LV"/>
              </w:rPr>
              <w:t>3.</w:t>
            </w:r>
          </w:p>
        </w:tc>
        <w:tc>
          <w:tcPr>
            <w:tcW w:w="1372"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rPr>
                <w:color w:val="000000"/>
                <w:lang w:val="lv-LV" w:eastAsia="lv-LV"/>
              </w:rPr>
            </w:pPr>
            <w:r w:rsidRPr="00542BF5">
              <w:rPr>
                <w:color w:val="000000"/>
                <w:lang w:val="lv-LV" w:eastAsia="lv-LV"/>
              </w:rPr>
              <w:t xml:space="preserve">SIA "Vīlands </w:t>
            </w:r>
            <w:proofErr w:type="spellStart"/>
            <w:r w:rsidRPr="00542BF5">
              <w:rPr>
                <w:color w:val="000000"/>
                <w:lang w:val="lv-LV" w:eastAsia="lv-LV"/>
              </w:rPr>
              <w:t>Associates</w:t>
            </w:r>
            <w:proofErr w:type="spellEnd"/>
            <w:r w:rsidRPr="00542BF5">
              <w:rPr>
                <w:color w:val="000000"/>
                <w:lang w:val="lv-LV" w:eastAsia="lv-LV"/>
              </w:rPr>
              <w:t xml:space="preserve">" </w:t>
            </w:r>
          </w:p>
        </w:tc>
        <w:tc>
          <w:tcPr>
            <w:tcW w:w="1528"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jc w:val="right"/>
              <w:rPr>
                <w:color w:val="000000"/>
                <w:lang w:val="lv-LV" w:eastAsia="lv-LV"/>
              </w:rPr>
            </w:pPr>
            <w:r w:rsidRPr="00542BF5">
              <w:rPr>
                <w:color w:val="000000"/>
                <w:lang w:val="lv-LV" w:eastAsia="lv-LV"/>
              </w:rPr>
              <w:t>18</w:t>
            </w:r>
            <w:r w:rsidRPr="0071349E">
              <w:rPr>
                <w:color w:val="000000"/>
                <w:lang w:val="lv-LV" w:eastAsia="lv-LV"/>
              </w:rPr>
              <w:t xml:space="preserve"> </w:t>
            </w:r>
            <w:r w:rsidRPr="00542BF5">
              <w:rPr>
                <w:color w:val="000000"/>
                <w:lang w:val="lv-LV" w:eastAsia="lv-LV"/>
              </w:rPr>
              <w:t>257,00</w:t>
            </w:r>
          </w:p>
        </w:tc>
        <w:tc>
          <w:tcPr>
            <w:tcW w:w="1767"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jc w:val="right"/>
              <w:rPr>
                <w:color w:val="000000"/>
                <w:lang w:val="lv-LV" w:eastAsia="lv-LV"/>
              </w:rPr>
            </w:pPr>
            <w:r w:rsidRPr="00542BF5">
              <w:rPr>
                <w:color w:val="000000"/>
                <w:lang w:val="lv-LV" w:eastAsia="lv-LV"/>
              </w:rPr>
              <w:t>7650,00</w:t>
            </w:r>
          </w:p>
        </w:tc>
        <w:tc>
          <w:tcPr>
            <w:tcW w:w="1653"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jc w:val="right"/>
              <w:rPr>
                <w:b/>
                <w:color w:val="000000"/>
                <w:lang w:val="lv-LV" w:eastAsia="lv-LV"/>
              </w:rPr>
            </w:pPr>
            <w:r w:rsidRPr="00542BF5">
              <w:rPr>
                <w:b/>
                <w:color w:val="000000"/>
                <w:lang w:val="lv-LV" w:eastAsia="lv-LV"/>
              </w:rPr>
              <w:t>25</w:t>
            </w:r>
            <w:r w:rsidRPr="0071349E">
              <w:rPr>
                <w:b/>
                <w:color w:val="000000"/>
                <w:lang w:val="lv-LV" w:eastAsia="lv-LV"/>
              </w:rPr>
              <w:t xml:space="preserve"> </w:t>
            </w:r>
            <w:r w:rsidRPr="00542BF5">
              <w:rPr>
                <w:b/>
                <w:color w:val="000000"/>
                <w:lang w:val="lv-LV" w:eastAsia="lv-LV"/>
              </w:rPr>
              <w:t>907,00</w:t>
            </w:r>
          </w:p>
        </w:tc>
        <w:tc>
          <w:tcPr>
            <w:tcW w:w="996"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jc w:val="right"/>
              <w:rPr>
                <w:color w:val="000000"/>
                <w:lang w:val="lv-LV" w:eastAsia="lv-LV"/>
              </w:rPr>
            </w:pPr>
            <w:r w:rsidRPr="00542BF5">
              <w:rPr>
                <w:color w:val="000000"/>
                <w:lang w:val="lv-LV" w:eastAsia="lv-LV"/>
              </w:rPr>
              <w:t>5440,47</w:t>
            </w:r>
          </w:p>
        </w:tc>
        <w:tc>
          <w:tcPr>
            <w:tcW w:w="1260" w:type="dxa"/>
            <w:tcBorders>
              <w:top w:val="nil"/>
              <w:left w:val="nil"/>
              <w:bottom w:val="single" w:sz="4" w:space="0" w:color="auto"/>
              <w:right w:val="single" w:sz="4" w:space="0" w:color="auto"/>
            </w:tcBorders>
            <w:shd w:val="clear" w:color="auto" w:fill="auto"/>
            <w:noWrap/>
            <w:vAlign w:val="center"/>
            <w:hideMark/>
          </w:tcPr>
          <w:p w:rsidR="006717CE" w:rsidRPr="00542BF5" w:rsidRDefault="006717CE" w:rsidP="005D3E3E">
            <w:pPr>
              <w:jc w:val="right"/>
              <w:rPr>
                <w:color w:val="000000"/>
                <w:lang w:val="lv-LV" w:eastAsia="lv-LV"/>
              </w:rPr>
            </w:pPr>
            <w:r w:rsidRPr="00542BF5">
              <w:rPr>
                <w:color w:val="000000"/>
                <w:lang w:val="lv-LV" w:eastAsia="lv-LV"/>
              </w:rPr>
              <w:t>31</w:t>
            </w:r>
            <w:r w:rsidRPr="0071349E">
              <w:rPr>
                <w:color w:val="000000"/>
                <w:lang w:val="lv-LV" w:eastAsia="lv-LV"/>
              </w:rPr>
              <w:t xml:space="preserve"> </w:t>
            </w:r>
            <w:r w:rsidRPr="00542BF5">
              <w:rPr>
                <w:color w:val="000000"/>
                <w:lang w:val="lv-LV" w:eastAsia="lv-LV"/>
              </w:rPr>
              <w:t>347,47</w:t>
            </w:r>
          </w:p>
        </w:tc>
      </w:tr>
    </w:tbl>
    <w:p w:rsidR="006717CE" w:rsidRPr="00C81950" w:rsidRDefault="006717CE" w:rsidP="00235F4B">
      <w:pPr>
        <w:pStyle w:val="BodyTextIndent2"/>
        <w:spacing w:after="120"/>
        <w:ind w:right="-908" w:firstLine="0"/>
        <w:rPr>
          <w:sz w:val="24"/>
        </w:rPr>
      </w:pPr>
    </w:p>
    <w:p w:rsidR="006717CE" w:rsidRDefault="006717CE" w:rsidP="00235F4B">
      <w:pPr>
        <w:ind w:right="-283" w:firstLine="567"/>
        <w:jc w:val="both"/>
        <w:rPr>
          <w:lang w:val="lv-LV"/>
        </w:rPr>
      </w:pPr>
      <w:r>
        <w:rPr>
          <w:lang w:val="lv-LV"/>
        </w:rPr>
        <w:t>Ņ</w:t>
      </w:r>
      <w:r w:rsidRPr="00902F26">
        <w:rPr>
          <w:lang w:val="lv-LV"/>
        </w:rPr>
        <w:t>emot vērā, ka piedāvājuma izvēles kritērijs ir – viszemākā pakalpojuma līgumcena, ar iekļautiem visiem nodokļiem (izņemot PVN) un izdevumiem,</w:t>
      </w:r>
      <w:r w:rsidRPr="00342039">
        <w:rPr>
          <w:lang w:val="lv-LV"/>
        </w:rPr>
        <w:t xml:space="preserve"> līguma slēgšanas tiesības būtu piešķiramas pretendentam SIA "</w:t>
      </w:r>
      <w:proofErr w:type="spellStart"/>
      <w:r w:rsidRPr="00342039">
        <w:rPr>
          <w:lang w:val="lv-LV"/>
        </w:rPr>
        <w:t>Comperio</w:t>
      </w:r>
      <w:proofErr w:type="spellEnd"/>
      <w:r w:rsidRPr="00342039">
        <w:rPr>
          <w:lang w:val="lv-LV"/>
        </w:rPr>
        <w:t>", reģistrācijas Nr. 40003676807, jo tā kvalifikācija un piedāvājums atbilst nolikuma prasībām un tas piedāvā zemāko kopējo pakalpojuma līgumcenu.</w:t>
      </w:r>
    </w:p>
    <w:p w:rsidR="006717CE" w:rsidRPr="00AF7C74" w:rsidRDefault="006717CE" w:rsidP="00235F4B">
      <w:pPr>
        <w:ind w:right="-285" w:firstLine="720"/>
        <w:jc w:val="both"/>
        <w:rPr>
          <w:lang w:val="lv-LV"/>
        </w:rPr>
      </w:pPr>
      <w:r w:rsidRPr="00AF7C74">
        <w:rPr>
          <w:lang w:val="lv-LV"/>
        </w:rPr>
        <w:t>Atbilstoši Likum</w:t>
      </w:r>
      <w:r w:rsidR="00235F4B">
        <w:rPr>
          <w:lang w:val="lv-LV"/>
        </w:rPr>
        <w:t>a</w:t>
      </w:r>
      <w:r w:rsidRPr="00AF7C74">
        <w:rPr>
          <w:lang w:val="lv-LV"/>
        </w:rPr>
        <w:t xml:space="preserve"> 9. panta trīspadsmita</w:t>
      </w:r>
      <w:r>
        <w:rPr>
          <w:lang w:val="lv-LV"/>
        </w:rPr>
        <w:t>ja</w:t>
      </w:r>
      <w:r w:rsidRPr="00AF7C74">
        <w:rPr>
          <w:lang w:val="lv-LV"/>
        </w:rPr>
        <w:t>i daļai pēc piedāvājumu iesniegšanas termiņa beigām iepirkuma komisija izvērtē iesniegtos piedāvājumus un izvēlas vienu vai vairākus piedāvājumus. Iepirkuma komisija par uzvarētāju iepirkumā atzīst pretendentu, kurš izraudzīts atbilstoši iepirkuma nolikumā noteiktajām prasībām un kritērijiem un nav izslēdzams no dalības iepirkumā saskaņā ar Likuma 9. panta astoto daļu.</w:t>
      </w:r>
    </w:p>
    <w:p w:rsidR="006717CE" w:rsidRPr="00342039" w:rsidRDefault="006717CE" w:rsidP="00235F4B">
      <w:pPr>
        <w:ind w:right="-283" w:firstLine="567"/>
        <w:jc w:val="both"/>
        <w:rPr>
          <w:lang w:val="lv-LV"/>
        </w:rPr>
      </w:pPr>
      <w:r w:rsidRPr="00342039">
        <w:rPr>
          <w:lang w:val="lv-LV"/>
        </w:rPr>
        <w:t>Atbilstoši Likuma 9. panta 9.daļai pasūtītājs, izmantojot Ministru kabineta noteikto informācijas sistēmu – pārbauda un saņem informāciju par pretendentu un personu, uz kuras iespējām pretendents balstās.</w:t>
      </w:r>
    </w:p>
    <w:p w:rsidR="006717CE" w:rsidRPr="00342039" w:rsidRDefault="006717CE" w:rsidP="00235F4B">
      <w:pPr>
        <w:ind w:right="-283" w:firstLine="567"/>
        <w:jc w:val="both"/>
        <w:rPr>
          <w:lang w:val="lv-LV"/>
        </w:rPr>
      </w:pPr>
      <w:r w:rsidRPr="00342039">
        <w:rPr>
          <w:lang w:val="lv-LV"/>
        </w:rPr>
        <w:t>1)Saskaņā ar E-izziņu sistēmas datubāzes saņemto informāciju pretendentam, kurš piedāvā zemāko kopējo pakalpojuma līgumcenu un atbilst Nolikuma prasībām, SIA "</w:t>
      </w:r>
      <w:proofErr w:type="spellStart"/>
      <w:r w:rsidRPr="00342039">
        <w:rPr>
          <w:lang w:val="lv-LV"/>
        </w:rPr>
        <w:t>Comperio</w:t>
      </w:r>
      <w:proofErr w:type="spellEnd"/>
      <w:r w:rsidRPr="00342039">
        <w:rPr>
          <w:lang w:val="lv-LV"/>
        </w:rPr>
        <w:t>", reģistrācijas Nr. 40003676807:</w:t>
      </w:r>
    </w:p>
    <w:p w:rsidR="006717CE" w:rsidRPr="00342039" w:rsidRDefault="006717CE" w:rsidP="00235F4B">
      <w:pPr>
        <w:ind w:right="-284" w:firstLine="567"/>
        <w:jc w:val="both"/>
        <w:rPr>
          <w:lang w:val="lv-LV"/>
        </w:rPr>
      </w:pPr>
      <w:r w:rsidRPr="00342039">
        <w:rPr>
          <w:lang w:val="lv-LV"/>
        </w:rPr>
        <w:t>–</w:t>
      </w:r>
      <w:r w:rsidRPr="00342039">
        <w:rPr>
          <w:lang w:val="lv-LV"/>
        </w:rPr>
        <w:tab/>
        <w:t>lēmuma par iespējamu iepirkuma līguma slēgšanas tiesību piešķiršanu pieņemšanas dienā (</w:t>
      </w:r>
      <w:proofErr w:type="gramStart"/>
      <w:r w:rsidRPr="00342039">
        <w:rPr>
          <w:lang w:val="lv-LV"/>
        </w:rPr>
        <w:t>2018.gada</w:t>
      </w:r>
      <w:proofErr w:type="gramEnd"/>
      <w:r w:rsidRPr="00342039">
        <w:rPr>
          <w:lang w:val="lv-LV"/>
        </w:rPr>
        <w:t xml:space="preserve"> 28.jūnijā) nav nodokļu (nodevu) parādi, tajā skaitā valsts sociālās apdrošināšanas obligāto iemaksu parādi, kas kopsummā pārsniedz 150 </w:t>
      </w:r>
      <w:proofErr w:type="spellStart"/>
      <w:r w:rsidRPr="00235F4B">
        <w:rPr>
          <w:i/>
          <w:lang w:val="lv-LV"/>
        </w:rPr>
        <w:t>euro</w:t>
      </w:r>
      <w:proofErr w:type="spellEnd"/>
      <w:r w:rsidRPr="00342039">
        <w:rPr>
          <w:lang w:val="lv-LV"/>
        </w:rPr>
        <w:t>;</w:t>
      </w:r>
    </w:p>
    <w:p w:rsidR="006717CE" w:rsidRPr="00342039" w:rsidRDefault="006717CE" w:rsidP="00235F4B">
      <w:pPr>
        <w:ind w:right="-284" w:firstLine="567"/>
        <w:jc w:val="both"/>
        <w:rPr>
          <w:lang w:val="lv-LV"/>
        </w:rPr>
      </w:pPr>
      <w:r w:rsidRPr="00342039">
        <w:rPr>
          <w:lang w:val="lv-LV"/>
        </w:rPr>
        <w:t>–</w:t>
      </w:r>
      <w:r w:rsidRPr="00342039">
        <w:rPr>
          <w:lang w:val="lv-LV"/>
        </w:rPr>
        <w:tab/>
        <w:t>nav pasludināts maksātnespējas process, nav apturēta tā saimnieciskā darbība, nav informācijas par tā likvidāciju;</w:t>
      </w:r>
    </w:p>
    <w:p w:rsidR="006717CE" w:rsidRPr="00342039" w:rsidRDefault="006717CE" w:rsidP="00235F4B">
      <w:pPr>
        <w:ind w:right="-284" w:firstLine="567"/>
        <w:jc w:val="both"/>
        <w:rPr>
          <w:lang w:val="lv-LV"/>
        </w:rPr>
      </w:pPr>
      <w:r w:rsidRPr="00342039">
        <w:rPr>
          <w:lang w:val="lv-LV"/>
        </w:rPr>
        <w:t>–</w:t>
      </w:r>
      <w:r w:rsidRPr="00342039">
        <w:rPr>
          <w:lang w:val="lv-LV"/>
        </w:rPr>
        <w:tab/>
        <w:t>pretendents nav ārzonā reģistrēta juridiskā persona vai personu apvienība.</w:t>
      </w:r>
    </w:p>
    <w:p w:rsidR="006717CE" w:rsidRDefault="006717CE" w:rsidP="00295687">
      <w:pPr>
        <w:ind w:firstLine="720"/>
        <w:rPr>
          <w:rFonts w:eastAsia="Calibri"/>
          <w:noProof/>
          <w:color w:val="00000A"/>
          <w:lang w:val="lv-LV"/>
        </w:rPr>
      </w:pPr>
    </w:p>
    <w:p w:rsidR="006717CE" w:rsidRPr="00342039" w:rsidRDefault="006717CE" w:rsidP="00235F4B">
      <w:pPr>
        <w:ind w:right="-283" w:firstLine="567"/>
        <w:jc w:val="both"/>
        <w:rPr>
          <w:lang w:val="lv-LV"/>
        </w:rPr>
      </w:pPr>
      <w:r w:rsidRPr="00342039">
        <w:rPr>
          <w:lang w:val="lv-LV"/>
        </w:rPr>
        <w:lastRenderedPageBreak/>
        <w:t>2)Saskaņā ar E-izziņu sistēmas datubāzes saņemto informāciju personai, uz kuras iespējām pretendents balstās, nodibinājumam "</w:t>
      </w:r>
      <w:proofErr w:type="spellStart"/>
      <w:r w:rsidRPr="00342039">
        <w:rPr>
          <w:lang w:val="lv-LV"/>
        </w:rPr>
        <w:t>Baltic</w:t>
      </w:r>
      <w:proofErr w:type="spellEnd"/>
      <w:r w:rsidRPr="00342039">
        <w:rPr>
          <w:lang w:val="lv-LV"/>
        </w:rPr>
        <w:t xml:space="preserve"> </w:t>
      </w:r>
      <w:proofErr w:type="spellStart"/>
      <w:r w:rsidRPr="00342039">
        <w:rPr>
          <w:lang w:val="lv-LV"/>
        </w:rPr>
        <w:t>Institute</w:t>
      </w:r>
      <w:proofErr w:type="spellEnd"/>
      <w:r w:rsidRPr="00342039">
        <w:rPr>
          <w:lang w:val="lv-LV"/>
        </w:rPr>
        <w:t xml:space="preserve"> </w:t>
      </w:r>
      <w:proofErr w:type="spellStart"/>
      <w:r w:rsidRPr="00342039">
        <w:rPr>
          <w:lang w:val="lv-LV"/>
        </w:rPr>
        <w:t>of</w:t>
      </w:r>
      <w:proofErr w:type="spellEnd"/>
      <w:r w:rsidRPr="00342039">
        <w:rPr>
          <w:lang w:val="lv-LV"/>
        </w:rPr>
        <w:t xml:space="preserve"> </w:t>
      </w:r>
      <w:proofErr w:type="spellStart"/>
      <w:r w:rsidRPr="00342039">
        <w:rPr>
          <w:lang w:val="lv-LV"/>
        </w:rPr>
        <w:t>Social</w:t>
      </w:r>
      <w:proofErr w:type="spellEnd"/>
      <w:r w:rsidRPr="00342039">
        <w:rPr>
          <w:lang w:val="lv-LV"/>
        </w:rPr>
        <w:t xml:space="preserve"> </w:t>
      </w:r>
      <w:proofErr w:type="spellStart"/>
      <w:r w:rsidRPr="00342039">
        <w:rPr>
          <w:lang w:val="lv-LV"/>
        </w:rPr>
        <w:t>Sciences</w:t>
      </w:r>
      <w:proofErr w:type="spellEnd"/>
      <w:r w:rsidRPr="00342039">
        <w:rPr>
          <w:lang w:val="lv-LV"/>
        </w:rPr>
        <w:t>", reģistrācijas Nr.50008084991:</w:t>
      </w:r>
    </w:p>
    <w:p w:rsidR="006717CE" w:rsidRPr="00342039" w:rsidRDefault="006717CE" w:rsidP="00235F4B">
      <w:pPr>
        <w:ind w:right="-283" w:firstLine="567"/>
        <w:jc w:val="both"/>
        <w:rPr>
          <w:lang w:val="lv-LV"/>
        </w:rPr>
      </w:pPr>
      <w:r w:rsidRPr="00342039">
        <w:rPr>
          <w:lang w:val="lv-LV"/>
        </w:rPr>
        <w:t>-</w:t>
      </w:r>
      <w:r w:rsidRPr="00342039">
        <w:rPr>
          <w:lang w:val="lv-LV"/>
        </w:rPr>
        <w:tab/>
        <w:t>lēmuma par iespējamu iepirkuma līguma slēgšanas tiesību piešķiršanu pieņemšanas dienā (</w:t>
      </w:r>
      <w:proofErr w:type="gramStart"/>
      <w:r w:rsidRPr="00342039">
        <w:rPr>
          <w:lang w:val="lv-LV"/>
        </w:rPr>
        <w:t>2018.gada</w:t>
      </w:r>
      <w:proofErr w:type="gramEnd"/>
      <w:r w:rsidRPr="00342039">
        <w:rPr>
          <w:lang w:val="lv-LV"/>
        </w:rPr>
        <w:t xml:space="preserve"> 28.jūnijā) ir nodokļu (nodevu) parādi, tajā skaitā valsts sociālās apdrošināšanas obligāto iemaksu parādi, kas kopsummā pārsniedz 150 </w:t>
      </w:r>
      <w:proofErr w:type="spellStart"/>
      <w:r w:rsidRPr="00235F4B">
        <w:rPr>
          <w:i/>
          <w:lang w:val="lv-LV"/>
        </w:rPr>
        <w:t>euro</w:t>
      </w:r>
      <w:proofErr w:type="spellEnd"/>
      <w:r w:rsidRPr="00342039">
        <w:rPr>
          <w:lang w:val="lv-LV"/>
        </w:rPr>
        <w:t>;</w:t>
      </w:r>
    </w:p>
    <w:p w:rsidR="006717CE" w:rsidRDefault="006717CE" w:rsidP="00235F4B">
      <w:pPr>
        <w:ind w:right="-283" w:firstLine="567"/>
        <w:jc w:val="both"/>
        <w:rPr>
          <w:lang w:val="lv-LV"/>
        </w:rPr>
      </w:pPr>
      <w:r w:rsidRPr="00342039">
        <w:rPr>
          <w:lang w:val="lv-LV"/>
        </w:rPr>
        <w:t>-</w:t>
      </w:r>
      <w:r w:rsidRPr="00342039">
        <w:rPr>
          <w:lang w:val="lv-LV"/>
        </w:rPr>
        <w:tab/>
        <w:t>nav informācijas par maksātnespējas procesu vai saimnieciskā darbības apturēšanu.</w:t>
      </w:r>
    </w:p>
    <w:p w:rsidR="00235F4B" w:rsidRPr="00342039" w:rsidRDefault="00235F4B" w:rsidP="00235F4B">
      <w:pPr>
        <w:ind w:right="-283" w:firstLine="567"/>
        <w:jc w:val="both"/>
        <w:rPr>
          <w:lang w:val="lv-LV"/>
        </w:rPr>
      </w:pPr>
    </w:p>
    <w:p w:rsidR="006717CE" w:rsidRPr="00902F26" w:rsidRDefault="006717CE" w:rsidP="00235F4B">
      <w:pPr>
        <w:ind w:right="-283" w:firstLine="567"/>
        <w:jc w:val="both"/>
        <w:rPr>
          <w:lang w:val="lv-LV"/>
        </w:rPr>
      </w:pPr>
      <w:r w:rsidRPr="00342039">
        <w:rPr>
          <w:lang w:val="lv-LV"/>
        </w:rPr>
        <w:t>Komisija secina, ka attiecībā uz personu, uz kuras iespējām pretendents SIA "</w:t>
      </w:r>
      <w:proofErr w:type="spellStart"/>
      <w:r w:rsidRPr="00342039">
        <w:rPr>
          <w:lang w:val="lv-LV"/>
        </w:rPr>
        <w:t>Comperio</w:t>
      </w:r>
      <w:proofErr w:type="spellEnd"/>
      <w:r w:rsidRPr="00342039">
        <w:rPr>
          <w:lang w:val="lv-LV"/>
        </w:rPr>
        <w:t>" balstās, nodibinājumam "</w:t>
      </w:r>
      <w:proofErr w:type="spellStart"/>
      <w:r w:rsidRPr="00342039">
        <w:rPr>
          <w:lang w:val="lv-LV"/>
        </w:rPr>
        <w:t>Baltic</w:t>
      </w:r>
      <w:proofErr w:type="spellEnd"/>
      <w:r w:rsidRPr="00342039">
        <w:rPr>
          <w:lang w:val="lv-LV"/>
        </w:rPr>
        <w:t xml:space="preserve"> </w:t>
      </w:r>
      <w:proofErr w:type="spellStart"/>
      <w:r w:rsidRPr="00342039">
        <w:rPr>
          <w:lang w:val="lv-LV"/>
        </w:rPr>
        <w:t>Institute</w:t>
      </w:r>
      <w:proofErr w:type="spellEnd"/>
      <w:r w:rsidRPr="00342039">
        <w:rPr>
          <w:lang w:val="lv-LV"/>
        </w:rPr>
        <w:t xml:space="preserve"> </w:t>
      </w:r>
      <w:proofErr w:type="spellStart"/>
      <w:r w:rsidRPr="00342039">
        <w:rPr>
          <w:lang w:val="lv-LV"/>
        </w:rPr>
        <w:t>of</w:t>
      </w:r>
      <w:proofErr w:type="spellEnd"/>
      <w:r w:rsidRPr="00342039">
        <w:rPr>
          <w:lang w:val="lv-LV"/>
        </w:rPr>
        <w:t xml:space="preserve"> </w:t>
      </w:r>
      <w:proofErr w:type="spellStart"/>
      <w:r w:rsidRPr="00342039">
        <w:rPr>
          <w:lang w:val="lv-LV"/>
        </w:rPr>
        <w:t>Social</w:t>
      </w:r>
      <w:proofErr w:type="spellEnd"/>
      <w:r w:rsidRPr="00342039">
        <w:rPr>
          <w:lang w:val="lv-LV"/>
        </w:rPr>
        <w:t xml:space="preserve"> </w:t>
      </w:r>
      <w:proofErr w:type="spellStart"/>
      <w:r w:rsidRPr="00342039">
        <w:rPr>
          <w:lang w:val="lv-LV"/>
        </w:rPr>
        <w:t>Sciences</w:t>
      </w:r>
      <w:proofErr w:type="spellEnd"/>
      <w:r w:rsidRPr="00342039">
        <w:rPr>
          <w:lang w:val="lv-LV"/>
        </w:rPr>
        <w:t xml:space="preserve">", reģistrācijas Nr.50008084991, saskaņā ar E-izziņu sistēmas datubāzes saņemto informāciju ir nodokļu (nodevu) parādi, tajā skaitā valsts sociālās apdrošināšanas obligāto iemaksu parādi, kas kopsummā pārsniedz 150 </w:t>
      </w:r>
      <w:proofErr w:type="spellStart"/>
      <w:r w:rsidRPr="00235F4B">
        <w:rPr>
          <w:i/>
          <w:lang w:val="lv-LV"/>
        </w:rPr>
        <w:t>euro</w:t>
      </w:r>
      <w:proofErr w:type="spellEnd"/>
      <w:r w:rsidRPr="00342039">
        <w:rPr>
          <w:lang w:val="lv-LV"/>
        </w:rPr>
        <w:t>.</w:t>
      </w:r>
    </w:p>
    <w:p w:rsidR="006717CE" w:rsidRDefault="006717CE" w:rsidP="00235F4B">
      <w:pPr>
        <w:ind w:right="-283" w:firstLine="567"/>
        <w:jc w:val="both"/>
        <w:rPr>
          <w:lang w:val="lv-LV"/>
        </w:rPr>
      </w:pPr>
      <w:r w:rsidRPr="00902F26">
        <w:rPr>
          <w:lang w:val="lv-LV"/>
        </w:rPr>
        <w:t>Atbilstoši Likuma 9. panta desmitās daļas otrā punkta nosacījumiem pasūtītājs informē pretendentu par to, ka ir konstatēti nodokļu (nodevu) parādi, kas kopsummā pārsniedz 150,00 EUR (viens simts piecdesmit </w:t>
      </w:r>
      <w:proofErr w:type="spellStart"/>
      <w:r w:rsidRPr="00902F26">
        <w:rPr>
          <w:i/>
          <w:lang w:val="lv-LV"/>
        </w:rPr>
        <w:t>euro</w:t>
      </w:r>
      <w:proofErr w:type="spellEnd"/>
      <w:r w:rsidRPr="00902F26">
        <w:rPr>
          <w:lang w:val="lv-LV"/>
        </w:rPr>
        <w:t xml:space="preserve"> un 00 </w:t>
      </w:r>
      <w:proofErr w:type="spellStart"/>
      <w:r w:rsidRPr="00902F26">
        <w:rPr>
          <w:i/>
          <w:lang w:val="lv-LV"/>
        </w:rPr>
        <w:t>euro</w:t>
      </w:r>
      <w:proofErr w:type="spellEnd"/>
      <w:r w:rsidRPr="00902F26">
        <w:rPr>
          <w:i/>
          <w:lang w:val="lv-LV"/>
        </w:rPr>
        <w:t xml:space="preserve"> </w:t>
      </w:r>
      <w:r w:rsidRPr="00902F26">
        <w:rPr>
          <w:lang w:val="lv-LV"/>
        </w:rPr>
        <w:t>centi), un nosaka termiņu – 10 dienas pēc informācijas izsniegšanas vai nosūtīšanas dienas, līdz kuram iesniedzams apliecinājums, ka pretendentam piedāvājumu iesniegšanas termiņa pēdējā dienā vai dienā, kad pieņemts lēmums par iespējamu iepirkuma līguma slēgšanas tiesību piešķiršanu, nebija nodokļu parādu, tai skaitā valsts sociālās apdrošināšanas obligāto iemaksu parādu, kas kopsummā pārsniedz 150,00 EUR (viens simts piecdesmit </w:t>
      </w:r>
      <w:proofErr w:type="spellStart"/>
      <w:r w:rsidRPr="00902F26">
        <w:rPr>
          <w:i/>
          <w:lang w:val="lv-LV"/>
        </w:rPr>
        <w:t>euro</w:t>
      </w:r>
      <w:proofErr w:type="spellEnd"/>
      <w:r w:rsidRPr="00902F26">
        <w:rPr>
          <w:lang w:val="lv-LV"/>
        </w:rPr>
        <w:t xml:space="preserve"> un 00 </w:t>
      </w:r>
      <w:proofErr w:type="spellStart"/>
      <w:r w:rsidRPr="00902F26">
        <w:rPr>
          <w:i/>
          <w:lang w:val="lv-LV"/>
        </w:rPr>
        <w:t>euro</w:t>
      </w:r>
      <w:proofErr w:type="spellEnd"/>
      <w:r w:rsidRPr="00902F26">
        <w:rPr>
          <w:i/>
          <w:lang w:val="lv-LV"/>
        </w:rPr>
        <w:t xml:space="preserve"> </w:t>
      </w:r>
      <w:r w:rsidRPr="00902F26">
        <w:rPr>
          <w:lang w:val="lv-LV"/>
        </w:rPr>
        <w:t>centi). Ja noteiktajā termiņā apliecinājums nav iesniegts, pasūtītājs pretendentu izslēdz no dalības iepirkumā.</w:t>
      </w:r>
    </w:p>
    <w:p w:rsidR="006717CE" w:rsidRPr="00A05F29" w:rsidRDefault="006717CE" w:rsidP="00235F4B">
      <w:pPr>
        <w:ind w:right="-283" w:firstLine="567"/>
        <w:jc w:val="both"/>
        <w:rPr>
          <w:lang w:val="lv-LV"/>
        </w:rPr>
      </w:pPr>
      <w:r>
        <w:rPr>
          <w:bCs/>
          <w:lang w:val="lv-LV"/>
        </w:rPr>
        <w:t>Iepirkumu komisija n</w:t>
      </w:r>
      <w:r w:rsidRPr="00A05F29">
        <w:rPr>
          <w:lang w:val="lv-LV"/>
        </w:rPr>
        <w:t>o</w:t>
      </w:r>
      <w:r w:rsidR="00235F4B">
        <w:rPr>
          <w:lang w:val="lv-LV"/>
        </w:rPr>
        <w:t>lēma nosūtīt</w:t>
      </w:r>
      <w:r>
        <w:rPr>
          <w:lang w:val="lv-LV"/>
        </w:rPr>
        <w:t xml:space="preserve"> </w:t>
      </w:r>
      <w:r w:rsidRPr="00A05F29">
        <w:rPr>
          <w:lang w:val="lv-LV"/>
        </w:rPr>
        <w:t>vēstuli</w:t>
      </w:r>
      <w:r w:rsidRPr="00A05F29">
        <w:rPr>
          <w:bCs/>
          <w:lang w:val="lv-LV"/>
        </w:rPr>
        <w:t xml:space="preserve"> </w:t>
      </w:r>
      <w:r w:rsidRPr="00EB6043">
        <w:rPr>
          <w:lang w:val="lv-LV"/>
        </w:rPr>
        <w:t>SIA "</w:t>
      </w:r>
      <w:proofErr w:type="spellStart"/>
      <w:r w:rsidRPr="00EB6043">
        <w:rPr>
          <w:lang w:val="lv-LV"/>
        </w:rPr>
        <w:t>Comperio</w:t>
      </w:r>
      <w:proofErr w:type="spellEnd"/>
      <w:r w:rsidRPr="00EB6043">
        <w:rPr>
          <w:lang w:val="lv-LV"/>
        </w:rPr>
        <w:t>" (reģistrācijas Nr. 40003676807) un informēt to, ka attiecībā uz personu, uz kuras iespējām pretendents SIA "</w:t>
      </w:r>
      <w:proofErr w:type="spellStart"/>
      <w:r w:rsidRPr="00EB6043">
        <w:rPr>
          <w:lang w:val="lv-LV"/>
        </w:rPr>
        <w:t>Comperio</w:t>
      </w:r>
      <w:proofErr w:type="spellEnd"/>
      <w:r w:rsidRPr="00EB6043">
        <w:rPr>
          <w:lang w:val="lv-LV"/>
        </w:rPr>
        <w:t>" balstās, nodibinājumam "</w:t>
      </w:r>
      <w:proofErr w:type="spellStart"/>
      <w:r w:rsidRPr="00EB6043">
        <w:rPr>
          <w:lang w:val="lv-LV"/>
        </w:rPr>
        <w:t>Baltic</w:t>
      </w:r>
      <w:proofErr w:type="spellEnd"/>
      <w:r w:rsidRPr="00EB6043">
        <w:rPr>
          <w:lang w:val="lv-LV"/>
        </w:rPr>
        <w:t xml:space="preserve"> </w:t>
      </w:r>
      <w:proofErr w:type="spellStart"/>
      <w:r w:rsidRPr="00EB6043">
        <w:rPr>
          <w:lang w:val="lv-LV"/>
        </w:rPr>
        <w:t>Institute</w:t>
      </w:r>
      <w:proofErr w:type="spellEnd"/>
      <w:r w:rsidRPr="00EB6043">
        <w:rPr>
          <w:lang w:val="lv-LV"/>
        </w:rPr>
        <w:t xml:space="preserve"> </w:t>
      </w:r>
      <w:proofErr w:type="spellStart"/>
      <w:r w:rsidRPr="00EB6043">
        <w:rPr>
          <w:lang w:val="lv-LV"/>
        </w:rPr>
        <w:t>of</w:t>
      </w:r>
      <w:proofErr w:type="spellEnd"/>
      <w:r w:rsidRPr="00EB6043">
        <w:rPr>
          <w:lang w:val="lv-LV"/>
        </w:rPr>
        <w:t xml:space="preserve"> </w:t>
      </w:r>
      <w:proofErr w:type="spellStart"/>
      <w:r w:rsidRPr="00EB6043">
        <w:rPr>
          <w:lang w:val="lv-LV"/>
        </w:rPr>
        <w:t>Social</w:t>
      </w:r>
      <w:proofErr w:type="spellEnd"/>
      <w:r w:rsidRPr="00EB6043">
        <w:rPr>
          <w:lang w:val="lv-LV"/>
        </w:rPr>
        <w:t xml:space="preserve"> </w:t>
      </w:r>
      <w:proofErr w:type="spellStart"/>
      <w:r w:rsidRPr="00EB6043">
        <w:rPr>
          <w:lang w:val="lv-LV"/>
        </w:rPr>
        <w:t>Sciences</w:t>
      </w:r>
      <w:proofErr w:type="spellEnd"/>
      <w:r w:rsidRPr="00EB6043">
        <w:rPr>
          <w:lang w:val="lv-LV"/>
        </w:rPr>
        <w:t xml:space="preserve">", reģistrācijas Nr.50008084991, saskaņā ar E-izziņu sistēmas datubāzes saņemto informāciju </w:t>
      </w:r>
      <w:proofErr w:type="gramStart"/>
      <w:r w:rsidRPr="00EB6043">
        <w:rPr>
          <w:lang w:val="lv-LV"/>
        </w:rPr>
        <w:t>2018.gada</w:t>
      </w:r>
      <w:proofErr w:type="gramEnd"/>
      <w:r w:rsidRPr="00EB6043">
        <w:rPr>
          <w:lang w:val="lv-LV"/>
        </w:rPr>
        <w:t xml:space="preserve"> 28.jūnijā ir nodokļu (nodevu) parādi, tajā skaitā valsts sociālās apdrošināšanas obligāto iemaksu parādi, kas kopsummā pārsniedz 150 </w:t>
      </w:r>
      <w:proofErr w:type="spellStart"/>
      <w:r w:rsidRPr="00235F4B">
        <w:rPr>
          <w:i/>
          <w:lang w:val="lv-LV"/>
        </w:rPr>
        <w:t>euro</w:t>
      </w:r>
      <w:proofErr w:type="spellEnd"/>
      <w:r w:rsidRPr="00EB6043">
        <w:rPr>
          <w:lang w:val="lv-LV"/>
        </w:rPr>
        <w:t>, un lūgt pretendentu 10 dienu laikā pēc informācijas nosūtīšanas dienas iesniegt attiecīgu dokumentu, kas pierāda, ka personai, uz kuras iespējām pretendents balstās nodibinājumam "</w:t>
      </w:r>
      <w:proofErr w:type="spellStart"/>
      <w:r w:rsidRPr="00EB6043">
        <w:rPr>
          <w:lang w:val="lv-LV"/>
        </w:rPr>
        <w:t>Baltic</w:t>
      </w:r>
      <w:proofErr w:type="spellEnd"/>
      <w:r w:rsidRPr="00EB6043">
        <w:rPr>
          <w:lang w:val="lv-LV"/>
        </w:rPr>
        <w:t xml:space="preserve"> </w:t>
      </w:r>
      <w:proofErr w:type="spellStart"/>
      <w:r w:rsidRPr="00EB6043">
        <w:rPr>
          <w:lang w:val="lv-LV"/>
        </w:rPr>
        <w:t>Institute</w:t>
      </w:r>
      <w:proofErr w:type="spellEnd"/>
      <w:r w:rsidRPr="00EB6043">
        <w:rPr>
          <w:lang w:val="lv-LV"/>
        </w:rPr>
        <w:t xml:space="preserve"> </w:t>
      </w:r>
      <w:proofErr w:type="spellStart"/>
      <w:r w:rsidRPr="00EB6043">
        <w:rPr>
          <w:lang w:val="lv-LV"/>
        </w:rPr>
        <w:t>of</w:t>
      </w:r>
      <w:proofErr w:type="spellEnd"/>
      <w:r w:rsidRPr="00EB6043">
        <w:rPr>
          <w:lang w:val="lv-LV"/>
        </w:rPr>
        <w:t xml:space="preserve"> </w:t>
      </w:r>
      <w:proofErr w:type="spellStart"/>
      <w:r w:rsidRPr="00EB6043">
        <w:rPr>
          <w:lang w:val="lv-LV"/>
        </w:rPr>
        <w:t>Social</w:t>
      </w:r>
      <w:proofErr w:type="spellEnd"/>
      <w:r w:rsidRPr="00EB6043">
        <w:rPr>
          <w:lang w:val="lv-LV"/>
        </w:rPr>
        <w:t xml:space="preserve"> </w:t>
      </w:r>
      <w:proofErr w:type="spellStart"/>
      <w:r w:rsidRPr="00EB6043">
        <w:rPr>
          <w:lang w:val="lv-LV"/>
        </w:rPr>
        <w:t>Sciences</w:t>
      </w:r>
      <w:proofErr w:type="spellEnd"/>
      <w:r w:rsidRPr="00EB6043">
        <w:rPr>
          <w:lang w:val="lv-LV"/>
        </w:rPr>
        <w:t xml:space="preserve">" (reģistrācijas Nr.50008084991) 2018.gada 28.jūnijā nebija nodokļu parādu, tai skaitā valsts sociālās apdrošināšanas obligāto iemaksu parādu, kas kopsummā pārsniedz 150 </w:t>
      </w:r>
      <w:proofErr w:type="spellStart"/>
      <w:r w:rsidRPr="00E3050A">
        <w:rPr>
          <w:i/>
          <w:lang w:val="lv-LV"/>
        </w:rPr>
        <w:t>euro</w:t>
      </w:r>
      <w:proofErr w:type="spellEnd"/>
      <w:r w:rsidRPr="00E3050A">
        <w:rPr>
          <w:i/>
          <w:lang w:val="lv-LV"/>
        </w:rPr>
        <w:t>.</w:t>
      </w:r>
    </w:p>
    <w:p w:rsidR="006717CE" w:rsidRDefault="006717CE" w:rsidP="00E3050A">
      <w:pPr>
        <w:ind w:right="-283" w:firstLine="567"/>
        <w:jc w:val="both"/>
        <w:rPr>
          <w:lang w:val="lv-LV"/>
        </w:rPr>
      </w:pPr>
    </w:p>
    <w:p w:rsidR="006717CE" w:rsidRDefault="006717CE" w:rsidP="00E3050A">
      <w:pPr>
        <w:ind w:right="-283" w:firstLine="567"/>
        <w:jc w:val="both"/>
        <w:rPr>
          <w:lang w:val="lv-LV"/>
        </w:rPr>
      </w:pPr>
      <w:r w:rsidRPr="006717CE">
        <w:rPr>
          <w:lang w:val="lv-LV"/>
        </w:rPr>
        <w:t xml:space="preserve">Pārvaldē </w:t>
      </w:r>
      <w:proofErr w:type="gramStart"/>
      <w:r w:rsidRPr="006717CE">
        <w:rPr>
          <w:lang w:val="lv-LV"/>
        </w:rPr>
        <w:t>2018.gada</w:t>
      </w:r>
      <w:proofErr w:type="gramEnd"/>
      <w:r w:rsidRPr="006717CE">
        <w:rPr>
          <w:lang w:val="lv-LV"/>
        </w:rPr>
        <w:t xml:space="preserve"> 10.jūlijā no SIA "</w:t>
      </w:r>
      <w:proofErr w:type="spellStart"/>
      <w:r w:rsidRPr="006717CE">
        <w:rPr>
          <w:lang w:val="lv-LV"/>
        </w:rPr>
        <w:t>Comperio</w:t>
      </w:r>
      <w:proofErr w:type="spellEnd"/>
      <w:r w:rsidRPr="006717CE">
        <w:rPr>
          <w:lang w:val="lv-LV"/>
        </w:rPr>
        <w:t>" tika saņemta sekojoša dokumentācija (Pārvaldes reģ. Nr.7785):</w:t>
      </w:r>
    </w:p>
    <w:p w:rsidR="006717CE" w:rsidRDefault="006717CE" w:rsidP="00E3050A">
      <w:pPr>
        <w:numPr>
          <w:ilvl w:val="0"/>
          <w:numId w:val="11"/>
        </w:numPr>
        <w:ind w:right="-283"/>
        <w:jc w:val="both"/>
        <w:rPr>
          <w:lang w:val="lv-LV"/>
        </w:rPr>
      </w:pPr>
      <w:r>
        <w:rPr>
          <w:lang w:val="lv-LV"/>
        </w:rPr>
        <w:t xml:space="preserve">Paskaidrojums par nodibinājuma </w:t>
      </w:r>
      <w:r w:rsidRPr="00A21E06">
        <w:rPr>
          <w:lang w:val="lv-LV"/>
        </w:rPr>
        <w:t>"</w:t>
      </w:r>
      <w:proofErr w:type="spellStart"/>
      <w:r w:rsidRPr="00A21E06">
        <w:rPr>
          <w:lang w:val="lv-LV"/>
        </w:rPr>
        <w:t>Baltic</w:t>
      </w:r>
      <w:proofErr w:type="spellEnd"/>
      <w:r w:rsidRPr="00A21E06">
        <w:rPr>
          <w:lang w:val="lv-LV"/>
        </w:rPr>
        <w:t xml:space="preserve"> </w:t>
      </w:r>
      <w:proofErr w:type="spellStart"/>
      <w:r w:rsidRPr="00A21E06">
        <w:rPr>
          <w:lang w:val="lv-LV"/>
        </w:rPr>
        <w:t>Institute</w:t>
      </w:r>
      <w:proofErr w:type="spellEnd"/>
      <w:r w:rsidRPr="00A21E06">
        <w:rPr>
          <w:lang w:val="lv-LV"/>
        </w:rPr>
        <w:t xml:space="preserve"> </w:t>
      </w:r>
      <w:proofErr w:type="spellStart"/>
      <w:r w:rsidRPr="00A21E06">
        <w:rPr>
          <w:lang w:val="lv-LV"/>
        </w:rPr>
        <w:t>of</w:t>
      </w:r>
      <w:proofErr w:type="spellEnd"/>
      <w:r w:rsidRPr="00A21E06">
        <w:rPr>
          <w:lang w:val="lv-LV"/>
        </w:rPr>
        <w:t xml:space="preserve"> </w:t>
      </w:r>
      <w:proofErr w:type="spellStart"/>
      <w:r w:rsidRPr="00A21E06">
        <w:rPr>
          <w:lang w:val="lv-LV"/>
        </w:rPr>
        <w:t>Social</w:t>
      </w:r>
      <w:proofErr w:type="spellEnd"/>
      <w:r w:rsidRPr="00A21E06">
        <w:rPr>
          <w:lang w:val="lv-LV"/>
        </w:rPr>
        <w:t xml:space="preserve"> </w:t>
      </w:r>
      <w:proofErr w:type="spellStart"/>
      <w:r w:rsidRPr="00A21E06">
        <w:rPr>
          <w:lang w:val="lv-LV"/>
        </w:rPr>
        <w:t>Sciences</w:t>
      </w:r>
      <w:proofErr w:type="spellEnd"/>
      <w:r w:rsidRPr="00A21E06">
        <w:rPr>
          <w:lang w:val="lv-LV"/>
        </w:rPr>
        <w:t>"</w:t>
      </w:r>
      <w:r>
        <w:rPr>
          <w:lang w:val="lv-LV"/>
        </w:rPr>
        <w:t xml:space="preserve"> atbilstību Publisko iepirkumu likuma </w:t>
      </w:r>
      <w:proofErr w:type="gramStart"/>
      <w:r>
        <w:rPr>
          <w:lang w:val="lv-LV"/>
        </w:rPr>
        <w:t>42.panta</w:t>
      </w:r>
      <w:proofErr w:type="gramEnd"/>
      <w:r>
        <w:rPr>
          <w:lang w:val="lv-LV"/>
        </w:rPr>
        <w:t xml:space="preserve"> pirmās daļas otrajā punktā noteiktajām prasībām;</w:t>
      </w:r>
    </w:p>
    <w:p w:rsidR="006717CE" w:rsidRDefault="006717CE" w:rsidP="00E3050A">
      <w:pPr>
        <w:numPr>
          <w:ilvl w:val="0"/>
          <w:numId w:val="11"/>
        </w:numPr>
        <w:ind w:right="-283"/>
        <w:jc w:val="both"/>
        <w:rPr>
          <w:lang w:val="lv-LV"/>
        </w:rPr>
      </w:pPr>
      <w:r>
        <w:rPr>
          <w:lang w:val="lv-LV"/>
        </w:rPr>
        <w:t xml:space="preserve">Valsts ieņēmuma dienesta izziņa, kas izdota </w:t>
      </w:r>
      <w:proofErr w:type="gramStart"/>
      <w:r>
        <w:rPr>
          <w:lang w:val="lv-LV"/>
        </w:rPr>
        <w:t>2018.gada</w:t>
      </w:r>
      <w:proofErr w:type="gramEnd"/>
      <w:r>
        <w:rPr>
          <w:lang w:val="lv-LV"/>
        </w:rPr>
        <w:t xml:space="preserve"> 9.jūlijā;</w:t>
      </w:r>
    </w:p>
    <w:p w:rsidR="006717CE" w:rsidRDefault="006717CE" w:rsidP="00E3050A">
      <w:pPr>
        <w:numPr>
          <w:ilvl w:val="0"/>
          <w:numId w:val="11"/>
        </w:numPr>
        <w:ind w:right="-283"/>
        <w:jc w:val="both"/>
        <w:rPr>
          <w:lang w:val="lv-LV"/>
        </w:rPr>
      </w:pPr>
      <w:r>
        <w:rPr>
          <w:lang w:val="lv-LV"/>
        </w:rPr>
        <w:t xml:space="preserve">Valsts ieņēmumu dienesta </w:t>
      </w:r>
      <w:proofErr w:type="gramStart"/>
      <w:r>
        <w:rPr>
          <w:lang w:val="lv-LV"/>
        </w:rPr>
        <w:t>2018.gada</w:t>
      </w:r>
      <w:proofErr w:type="gramEnd"/>
      <w:r>
        <w:rPr>
          <w:lang w:val="lv-LV"/>
        </w:rPr>
        <w:t xml:space="preserve"> 5.jūlija Lēmums Nr.30.4-4.1.4/46010 “Par nodokļu samaksas termiņa pagarinājuma piešķiršanu” kopija.</w:t>
      </w:r>
    </w:p>
    <w:p w:rsidR="00281316" w:rsidRDefault="00281316" w:rsidP="00281316">
      <w:pPr>
        <w:ind w:left="720" w:right="-283"/>
        <w:jc w:val="both"/>
        <w:rPr>
          <w:lang w:val="lv-LV"/>
        </w:rPr>
      </w:pPr>
    </w:p>
    <w:p w:rsidR="00281316" w:rsidRPr="00281316" w:rsidRDefault="00281316" w:rsidP="00281316">
      <w:pPr>
        <w:ind w:right="-283"/>
        <w:jc w:val="both"/>
        <w:rPr>
          <w:b/>
          <w:lang w:val="lv-LV"/>
        </w:rPr>
      </w:pPr>
      <w:r w:rsidRPr="00281316">
        <w:rPr>
          <w:b/>
          <w:lang w:val="lv-LV"/>
        </w:rPr>
        <w:t>6.Piedāvājuma vērtēšanas kopsavilkums:</w:t>
      </w:r>
    </w:p>
    <w:p w:rsidR="00281316" w:rsidRDefault="00281316" w:rsidP="00281316">
      <w:pPr>
        <w:ind w:right="-283"/>
        <w:jc w:val="both"/>
        <w:rPr>
          <w:lang w:val="lv-LV"/>
        </w:rPr>
      </w:pPr>
    </w:p>
    <w:p w:rsidR="006717CE" w:rsidRDefault="00E3050A" w:rsidP="00E3050A">
      <w:pPr>
        <w:ind w:right="-283" w:firstLine="567"/>
        <w:jc w:val="both"/>
        <w:rPr>
          <w:lang w:val="lv-LV"/>
        </w:rPr>
      </w:pPr>
      <w:r>
        <w:rPr>
          <w:lang w:val="lv-LV"/>
        </w:rPr>
        <w:t>N</w:t>
      </w:r>
      <w:r w:rsidR="006717CE" w:rsidRPr="006717CE">
        <w:rPr>
          <w:lang w:val="lv-LV"/>
        </w:rPr>
        <w:t>odibinājums "</w:t>
      </w:r>
      <w:proofErr w:type="spellStart"/>
      <w:r w:rsidR="006717CE" w:rsidRPr="006717CE">
        <w:rPr>
          <w:lang w:val="lv-LV"/>
        </w:rPr>
        <w:t>Baltic</w:t>
      </w:r>
      <w:proofErr w:type="spellEnd"/>
      <w:r w:rsidR="006717CE" w:rsidRPr="006717CE">
        <w:rPr>
          <w:lang w:val="lv-LV"/>
        </w:rPr>
        <w:t xml:space="preserve"> </w:t>
      </w:r>
      <w:proofErr w:type="spellStart"/>
      <w:r w:rsidR="006717CE" w:rsidRPr="006717CE">
        <w:rPr>
          <w:lang w:val="lv-LV"/>
        </w:rPr>
        <w:t>Institute</w:t>
      </w:r>
      <w:proofErr w:type="spellEnd"/>
      <w:r w:rsidR="006717CE" w:rsidRPr="006717CE">
        <w:rPr>
          <w:lang w:val="lv-LV"/>
        </w:rPr>
        <w:t xml:space="preserve"> </w:t>
      </w:r>
      <w:proofErr w:type="spellStart"/>
      <w:r w:rsidR="006717CE" w:rsidRPr="006717CE">
        <w:rPr>
          <w:lang w:val="lv-LV"/>
        </w:rPr>
        <w:t>of</w:t>
      </w:r>
      <w:proofErr w:type="spellEnd"/>
      <w:r w:rsidR="006717CE" w:rsidRPr="006717CE">
        <w:rPr>
          <w:lang w:val="lv-LV"/>
        </w:rPr>
        <w:t xml:space="preserve"> </w:t>
      </w:r>
      <w:proofErr w:type="spellStart"/>
      <w:r w:rsidR="006717CE" w:rsidRPr="006717CE">
        <w:rPr>
          <w:lang w:val="lv-LV"/>
        </w:rPr>
        <w:t>Social</w:t>
      </w:r>
      <w:proofErr w:type="spellEnd"/>
      <w:r w:rsidR="006717CE" w:rsidRPr="006717CE">
        <w:rPr>
          <w:lang w:val="lv-LV"/>
        </w:rPr>
        <w:t xml:space="preserve"> </w:t>
      </w:r>
      <w:proofErr w:type="spellStart"/>
      <w:r w:rsidR="006717CE" w:rsidRPr="006717CE">
        <w:rPr>
          <w:lang w:val="lv-LV"/>
        </w:rPr>
        <w:t>Sciences</w:t>
      </w:r>
      <w:proofErr w:type="spellEnd"/>
      <w:r w:rsidR="006717CE" w:rsidRPr="006717CE">
        <w:rPr>
          <w:lang w:val="lv-LV"/>
        </w:rPr>
        <w:t xml:space="preserve">" savā </w:t>
      </w:r>
      <w:proofErr w:type="gramStart"/>
      <w:r w:rsidR="006717CE" w:rsidRPr="006717CE">
        <w:rPr>
          <w:lang w:val="lv-LV"/>
        </w:rPr>
        <w:t>2018.gada</w:t>
      </w:r>
      <w:proofErr w:type="gramEnd"/>
      <w:r w:rsidR="006717CE" w:rsidRPr="006717CE">
        <w:rPr>
          <w:lang w:val="lv-LV"/>
        </w:rPr>
        <w:t xml:space="preserve"> 6.jūlija paskaidrojumā skaidro savu atbilstību Likum</w:t>
      </w:r>
      <w:r>
        <w:rPr>
          <w:lang w:val="lv-LV"/>
        </w:rPr>
        <w:t>a</w:t>
      </w:r>
      <w:r w:rsidR="006717CE" w:rsidRPr="006717CE">
        <w:rPr>
          <w:lang w:val="lv-LV"/>
        </w:rPr>
        <w:t xml:space="preserve"> 42.panta pi</w:t>
      </w:r>
      <w:bookmarkStart w:id="1" w:name="_GoBack"/>
      <w:bookmarkEnd w:id="1"/>
      <w:r w:rsidR="006717CE" w:rsidRPr="006717CE">
        <w:rPr>
          <w:lang w:val="lv-LV"/>
        </w:rPr>
        <w:t xml:space="preserve">rmās daļas 2.punkta prasībām. Tomēr tā kā iepirkums tiek veikts Likuma </w:t>
      </w:r>
      <w:proofErr w:type="gramStart"/>
      <w:r w:rsidR="006717CE" w:rsidRPr="006717CE">
        <w:rPr>
          <w:lang w:val="lv-LV"/>
        </w:rPr>
        <w:t>9.panta</w:t>
      </w:r>
      <w:proofErr w:type="gramEnd"/>
      <w:r w:rsidR="006717CE" w:rsidRPr="006717CE">
        <w:rPr>
          <w:lang w:val="lv-LV"/>
        </w:rPr>
        <w:t xml:space="preserve"> kārtībā, tad ir piemērojams Likuma 9.panta astotās daļas 2.punkts. Pamatojoties uz to, ka abas iepriekš minētās tiesību normas ietver identiskas prasības, tikai piemērojamas atšķirīgām iepirkuma procedūrām, tad uzskatāms, ka nodibinājums "</w:t>
      </w:r>
      <w:proofErr w:type="spellStart"/>
      <w:r w:rsidR="006717CE" w:rsidRPr="006717CE">
        <w:rPr>
          <w:lang w:val="lv-LV"/>
        </w:rPr>
        <w:t>Baltic</w:t>
      </w:r>
      <w:proofErr w:type="spellEnd"/>
      <w:r w:rsidR="006717CE" w:rsidRPr="006717CE">
        <w:rPr>
          <w:lang w:val="lv-LV"/>
        </w:rPr>
        <w:t xml:space="preserve"> </w:t>
      </w:r>
      <w:proofErr w:type="spellStart"/>
      <w:r w:rsidR="006717CE" w:rsidRPr="006717CE">
        <w:rPr>
          <w:lang w:val="lv-LV"/>
        </w:rPr>
        <w:t>Institute</w:t>
      </w:r>
      <w:proofErr w:type="spellEnd"/>
      <w:r w:rsidR="006717CE" w:rsidRPr="006717CE">
        <w:rPr>
          <w:lang w:val="lv-LV"/>
        </w:rPr>
        <w:t xml:space="preserve"> </w:t>
      </w:r>
      <w:proofErr w:type="spellStart"/>
      <w:r w:rsidR="006717CE" w:rsidRPr="006717CE">
        <w:rPr>
          <w:lang w:val="lv-LV"/>
        </w:rPr>
        <w:lastRenderedPageBreak/>
        <w:t>of</w:t>
      </w:r>
      <w:proofErr w:type="spellEnd"/>
      <w:r w:rsidR="006717CE" w:rsidRPr="006717CE">
        <w:rPr>
          <w:lang w:val="lv-LV"/>
        </w:rPr>
        <w:t xml:space="preserve"> </w:t>
      </w:r>
      <w:proofErr w:type="spellStart"/>
      <w:r w:rsidR="006717CE" w:rsidRPr="006717CE">
        <w:rPr>
          <w:lang w:val="lv-LV"/>
        </w:rPr>
        <w:t>Social</w:t>
      </w:r>
      <w:proofErr w:type="spellEnd"/>
      <w:r w:rsidR="006717CE" w:rsidRPr="006717CE">
        <w:rPr>
          <w:lang w:val="lv-LV"/>
        </w:rPr>
        <w:t xml:space="preserve"> </w:t>
      </w:r>
      <w:proofErr w:type="spellStart"/>
      <w:r w:rsidR="006717CE" w:rsidRPr="006717CE">
        <w:rPr>
          <w:lang w:val="lv-LV"/>
        </w:rPr>
        <w:t>Sciences</w:t>
      </w:r>
      <w:proofErr w:type="spellEnd"/>
      <w:r w:rsidR="006717CE" w:rsidRPr="006717CE">
        <w:rPr>
          <w:lang w:val="lv-LV"/>
        </w:rPr>
        <w:t xml:space="preserve">" sniedz skaidrojumu par tā atbilstību Likuma </w:t>
      </w:r>
      <w:proofErr w:type="gramStart"/>
      <w:r w:rsidR="006717CE" w:rsidRPr="006717CE">
        <w:rPr>
          <w:lang w:val="lv-LV"/>
        </w:rPr>
        <w:t>9.panta</w:t>
      </w:r>
      <w:proofErr w:type="gramEnd"/>
      <w:r w:rsidR="006717CE" w:rsidRPr="006717CE">
        <w:rPr>
          <w:lang w:val="lv-LV"/>
        </w:rPr>
        <w:t xml:space="preserve"> astotās daļas 2.punktā ietvertajām prasībām.</w:t>
      </w:r>
    </w:p>
    <w:p w:rsidR="006717CE" w:rsidRDefault="006717CE" w:rsidP="00E3050A">
      <w:pPr>
        <w:ind w:right="-283" w:firstLine="720"/>
        <w:jc w:val="both"/>
        <w:rPr>
          <w:lang w:val="lv-LV"/>
        </w:rPr>
      </w:pPr>
      <w:r>
        <w:rPr>
          <w:lang w:val="lv-LV"/>
        </w:rPr>
        <w:t xml:space="preserve">Valsts ieņēmumu dienesta (turpmāk – VID) </w:t>
      </w:r>
      <w:proofErr w:type="gramStart"/>
      <w:r w:rsidRPr="002F0396">
        <w:rPr>
          <w:lang w:val="lv-LV"/>
        </w:rPr>
        <w:t>2018.gada</w:t>
      </w:r>
      <w:proofErr w:type="gramEnd"/>
      <w:r w:rsidRPr="002F0396">
        <w:rPr>
          <w:lang w:val="lv-LV"/>
        </w:rPr>
        <w:t xml:space="preserve"> 5.jūlija </w:t>
      </w:r>
      <w:r>
        <w:rPr>
          <w:lang w:val="lv-LV"/>
        </w:rPr>
        <w:t xml:space="preserve">Lēmumā norādīts, ka </w:t>
      </w:r>
      <w:r w:rsidRPr="001D69E7">
        <w:rPr>
          <w:lang w:val="lv-LV"/>
        </w:rPr>
        <w:t>nodibinājum</w:t>
      </w:r>
      <w:r>
        <w:rPr>
          <w:lang w:val="lv-LV"/>
        </w:rPr>
        <w:t>s</w:t>
      </w:r>
      <w:r w:rsidRPr="001D69E7">
        <w:rPr>
          <w:lang w:val="lv-LV"/>
        </w:rPr>
        <w:t xml:space="preserve"> "</w:t>
      </w:r>
      <w:proofErr w:type="spellStart"/>
      <w:r w:rsidRPr="001D69E7">
        <w:rPr>
          <w:lang w:val="lv-LV"/>
        </w:rPr>
        <w:t>Baltic</w:t>
      </w:r>
      <w:proofErr w:type="spellEnd"/>
      <w:r w:rsidRPr="001D69E7">
        <w:rPr>
          <w:lang w:val="lv-LV"/>
        </w:rPr>
        <w:t xml:space="preserve"> </w:t>
      </w:r>
      <w:proofErr w:type="spellStart"/>
      <w:r w:rsidRPr="001D69E7">
        <w:rPr>
          <w:lang w:val="lv-LV"/>
        </w:rPr>
        <w:t>Institute</w:t>
      </w:r>
      <w:proofErr w:type="spellEnd"/>
      <w:r w:rsidRPr="001D69E7">
        <w:rPr>
          <w:lang w:val="lv-LV"/>
        </w:rPr>
        <w:t xml:space="preserve"> </w:t>
      </w:r>
      <w:proofErr w:type="spellStart"/>
      <w:r w:rsidRPr="001D69E7">
        <w:rPr>
          <w:lang w:val="lv-LV"/>
        </w:rPr>
        <w:t>of</w:t>
      </w:r>
      <w:proofErr w:type="spellEnd"/>
      <w:r w:rsidRPr="001D69E7">
        <w:rPr>
          <w:lang w:val="lv-LV"/>
        </w:rPr>
        <w:t xml:space="preserve"> </w:t>
      </w:r>
      <w:proofErr w:type="spellStart"/>
      <w:r w:rsidRPr="001D69E7">
        <w:rPr>
          <w:lang w:val="lv-LV"/>
        </w:rPr>
        <w:t>Social</w:t>
      </w:r>
      <w:proofErr w:type="spellEnd"/>
      <w:r w:rsidRPr="001D69E7">
        <w:rPr>
          <w:lang w:val="lv-LV"/>
        </w:rPr>
        <w:t xml:space="preserve"> </w:t>
      </w:r>
      <w:proofErr w:type="spellStart"/>
      <w:r w:rsidRPr="001D69E7">
        <w:rPr>
          <w:lang w:val="lv-LV"/>
        </w:rPr>
        <w:t>Sciences</w:t>
      </w:r>
      <w:proofErr w:type="spellEnd"/>
      <w:r w:rsidRPr="001D69E7">
        <w:rPr>
          <w:lang w:val="lv-LV"/>
        </w:rPr>
        <w:t>"</w:t>
      </w:r>
      <w:r>
        <w:rPr>
          <w:lang w:val="lv-LV"/>
        </w:rPr>
        <w:t xml:space="preserve"> iesniegumu par iedzīvotāju ienākumu nodokļa iemaksu (turpmāk – IIN) samaksas sadalīšanu termiņos un iesniegumu par valsts sociālo apdrošināšanas obligāto iemaksu (turpmāk – VSAOI) samaksas sadalīšanu termiņos VID iesniedza 2018.gada 15.jūnijā. Savukārt VID 2018.gada 5.jūlija Lēmumā par nodokļa samaksas termiņa pagarinājuma piešķiršanu, nolēma:</w:t>
      </w:r>
    </w:p>
    <w:p w:rsidR="006717CE" w:rsidRDefault="006717CE" w:rsidP="00E3050A">
      <w:pPr>
        <w:numPr>
          <w:ilvl w:val="0"/>
          <w:numId w:val="12"/>
        </w:numPr>
        <w:jc w:val="both"/>
        <w:rPr>
          <w:lang w:val="lv-LV"/>
        </w:rPr>
      </w:pPr>
      <w:r>
        <w:rPr>
          <w:lang w:val="lv-LV"/>
        </w:rPr>
        <w:t xml:space="preserve">sadalīt termiņos uz laiku no </w:t>
      </w:r>
      <w:proofErr w:type="gramStart"/>
      <w:r>
        <w:rPr>
          <w:lang w:val="lv-LV"/>
        </w:rPr>
        <w:t>2018.gada</w:t>
      </w:r>
      <w:proofErr w:type="gramEnd"/>
      <w:r>
        <w:rPr>
          <w:lang w:val="lv-LV"/>
        </w:rPr>
        <w:t xml:space="preserve"> 16.jūnija līdz 2019.gada 5.jūnijam VSAOI samaksu;</w:t>
      </w:r>
    </w:p>
    <w:p w:rsidR="006717CE" w:rsidRDefault="006717CE" w:rsidP="00E3050A">
      <w:pPr>
        <w:numPr>
          <w:ilvl w:val="0"/>
          <w:numId w:val="12"/>
        </w:numPr>
        <w:jc w:val="both"/>
        <w:rPr>
          <w:lang w:val="lv-LV"/>
        </w:rPr>
      </w:pPr>
      <w:r>
        <w:rPr>
          <w:lang w:val="lv-LV"/>
        </w:rPr>
        <w:t xml:space="preserve">sadalīt termiņos uz laiku no </w:t>
      </w:r>
      <w:proofErr w:type="gramStart"/>
      <w:r>
        <w:rPr>
          <w:lang w:val="lv-LV"/>
        </w:rPr>
        <w:t>2018.gada</w:t>
      </w:r>
      <w:proofErr w:type="gramEnd"/>
      <w:r>
        <w:rPr>
          <w:lang w:val="lv-LV"/>
        </w:rPr>
        <w:t xml:space="preserve"> 26.jūnija līdz 2019.gada 15.jūnijam IIN samaksu.</w:t>
      </w:r>
    </w:p>
    <w:p w:rsidR="006717CE" w:rsidRDefault="006717CE" w:rsidP="00E3050A">
      <w:pPr>
        <w:jc w:val="both"/>
        <w:rPr>
          <w:lang w:val="lv-LV"/>
        </w:rPr>
      </w:pPr>
    </w:p>
    <w:p w:rsidR="006717CE" w:rsidRDefault="006717CE" w:rsidP="00E3050A">
      <w:pPr>
        <w:ind w:firstLine="720"/>
        <w:jc w:val="both"/>
        <w:rPr>
          <w:lang w:val="lv-LV"/>
        </w:rPr>
      </w:pPr>
      <w:r>
        <w:rPr>
          <w:lang w:val="lv-LV"/>
        </w:rPr>
        <w:t xml:space="preserve">Iepirkumu uzraudzības biroja </w:t>
      </w:r>
      <w:proofErr w:type="gramStart"/>
      <w:r>
        <w:rPr>
          <w:lang w:val="lv-LV"/>
        </w:rPr>
        <w:t>2018.gada</w:t>
      </w:r>
      <w:proofErr w:type="gramEnd"/>
      <w:r>
        <w:rPr>
          <w:lang w:val="lv-LV"/>
        </w:rPr>
        <w:t xml:space="preserve"> 1.jūnija “Skaidrojums par nodokļu parādu neesamības apliecināšanu”</w:t>
      </w:r>
      <w:r>
        <w:rPr>
          <w:rStyle w:val="FootnoteReference"/>
          <w:lang w:val="lv-LV"/>
        </w:rPr>
        <w:footnoteReference w:id="1"/>
      </w:r>
      <w:r>
        <w:rPr>
          <w:lang w:val="lv-LV"/>
        </w:rPr>
        <w:t xml:space="preserve">, ir norādīts, ka viens no </w:t>
      </w:r>
      <w:r w:rsidRPr="00330899">
        <w:rPr>
          <w:lang w:val="lv-LV"/>
        </w:rPr>
        <w:t>VID l</w:t>
      </w:r>
      <w:r>
        <w:rPr>
          <w:lang w:val="lv-LV"/>
        </w:rPr>
        <w:t>ēmumu veidiem ir Lēmums “Par samaksas termiņa pagarinājuma piešķiršanu”, kas savukārt nozīmē, ka nav nodokļu parāda.</w:t>
      </w:r>
      <w:r w:rsidRPr="00330899">
        <w:rPr>
          <w:lang w:val="lv-LV"/>
        </w:rPr>
        <w:t xml:space="preserve"> </w:t>
      </w:r>
    </w:p>
    <w:p w:rsidR="00E3050A" w:rsidRPr="00E3050A" w:rsidRDefault="00E3050A" w:rsidP="00E3050A">
      <w:pPr>
        <w:ind w:firstLine="720"/>
        <w:jc w:val="both"/>
        <w:rPr>
          <w:lang w:val="lv-LV"/>
        </w:rPr>
      </w:pPr>
    </w:p>
    <w:p w:rsidR="006717CE" w:rsidRDefault="006717CE" w:rsidP="00E3050A">
      <w:pPr>
        <w:ind w:firstLine="851"/>
        <w:jc w:val="both"/>
        <w:rPr>
          <w:lang w:val="lv-LV"/>
        </w:rPr>
      </w:pPr>
      <w:r>
        <w:rPr>
          <w:lang w:val="lv-LV"/>
        </w:rPr>
        <w:t>Tā kā i</w:t>
      </w:r>
      <w:r w:rsidRPr="002F0396">
        <w:rPr>
          <w:lang w:val="lv-LV"/>
        </w:rPr>
        <w:t>nformācij</w:t>
      </w:r>
      <w:r>
        <w:rPr>
          <w:lang w:val="lv-LV"/>
        </w:rPr>
        <w:t>a</w:t>
      </w:r>
      <w:r w:rsidRPr="002F0396">
        <w:rPr>
          <w:lang w:val="lv-LV"/>
        </w:rPr>
        <w:t xml:space="preserve"> VID</w:t>
      </w:r>
      <w:proofErr w:type="gramStart"/>
      <w:r w:rsidRPr="002F0396">
        <w:rPr>
          <w:lang w:val="lv-LV"/>
        </w:rPr>
        <w:t xml:space="preserve">  </w:t>
      </w:r>
      <w:proofErr w:type="gramEnd"/>
      <w:r w:rsidRPr="002F0396">
        <w:rPr>
          <w:lang w:val="lv-LV"/>
        </w:rPr>
        <w:t>administrēto nodokļu (nodevu) parādnieku datu bāzē tiek aktualizēta divas reizes mēnesī – katra mēneša 7. un 26.</w:t>
      </w:r>
      <w:r>
        <w:rPr>
          <w:lang w:val="lv-LV"/>
        </w:rPr>
        <w:t xml:space="preserve"> </w:t>
      </w:r>
      <w:r w:rsidRPr="002F0396">
        <w:rPr>
          <w:lang w:val="lv-LV"/>
        </w:rPr>
        <w:t>datumā</w:t>
      </w:r>
      <w:r w:rsidRPr="002F0396">
        <w:rPr>
          <w:vertAlign w:val="superscript"/>
          <w:lang w:val="lv-LV"/>
        </w:rPr>
        <w:footnoteReference w:id="2"/>
      </w:r>
      <w:r>
        <w:rPr>
          <w:lang w:val="lv-LV"/>
        </w:rPr>
        <w:t>, tad secināms, ka Iepirkumu komisijai pārbaudot nodokļu (nodevu) parādus uz 2018.gada 28.jūniju, informācija no VID tika aktualizēta 2018.gada 26.jūnijā un tajā pašā laikā VID lēma par samaksas termiņa pagarinājuma piešķiršanu nodibinājumam</w:t>
      </w:r>
      <w:r w:rsidRPr="002F0396">
        <w:rPr>
          <w:lang w:val="lv-LV"/>
        </w:rPr>
        <w:t xml:space="preserve"> "</w:t>
      </w:r>
      <w:proofErr w:type="spellStart"/>
      <w:r w:rsidRPr="002F0396">
        <w:rPr>
          <w:lang w:val="lv-LV"/>
        </w:rPr>
        <w:t>Baltic</w:t>
      </w:r>
      <w:proofErr w:type="spellEnd"/>
      <w:r w:rsidRPr="002F0396">
        <w:rPr>
          <w:lang w:val="lv-LV"/>
        </w:rPr>
        <w:t xml:space="preserve"> </w:t>
      </w:r>
      <w:proofErr w:type="spellStart"/>
      <w:r w:rsidRPr="002F0396">
        <w:rPr>
          <w:lang w:val="lv-LV"/>
        </w:rPr>
        <w:t>Institute</w:t>
      </w:r>
      <w:proofErr w:type="spellEnd"/>
      <w:r w:rsidRPr="002F0396">
        <w:rPr>
          <w:lang w:val="lv-LV"/>
        </w:rPr>
        <w:t xml:space="preserve"> </w:t>
      </w:r>
      <w:proofErr w:type="spellStart"/>
      <w:r w:rsidRPr="002F0396">
        <w:rPr>
          <w:lang w:val="lv-LV"/>
        </w:rPr>
        <w:t>of</w:t>
      </w:r>
      <w:proofErr w:type="spellEnd"/>
      <w:r w:rsidRPr="002F0396">
        <w:rPr>
          <w:lang w:val="lv-LV"/>
        </w:rPr>
        <w:t xml:space="preserve"> </w:t>
      </w:r>
      <w:proofErr w:type="spellStart"/>
      <w:r w:rsidRPr="002F0396">
        <w:rPr>
          <w:lang w:val="lv-LV"/>
        </w:rPr>
        <w:t>Social</w:t>
      </w:r>
      <w:proofErr w:type="spellEnd"/>
      <w:r w:rsidRPr="002F0396">
        <w:rPr>
          <w:lang w:val="lv-LV"/>
        </w:rPr>
        <w:t xml:space="preserve"> </w:t>
      </w:r>
      <w:proofErr w:type="spellStart"/>
      <w:r w:rsidRPr="002F0396">
        <w:rPr>
          <w:lang w:val="lv-LV"/>
        </w:rPr>
        <w:t>Sciences</w:t>
      </w:r>
      <w:proofErr w:type="spellEnd"/>
      <w:r w:rsidRPr="002F0396">
        <w:rPr>
          <w:lang w:val="lv-LV"/>
        </w:rPr>
        <w:t>"</w:t>
      </w:r>
      <w:r>
        <w:rPr>
          <w:lang w:val="lv-LV"/>
        </w:rPr>
        <w:t>.</w:t>
      </w:r>
      <w:r w:rsidR="00E3050A">
        <w:rPr>
          <w:lang w:val="lv-LV"/>
        </w:rPr>
        <w:t xml:space="preserve"> </w:t>
      </w:r>
      <w:r>
        <w:rPr>
          <w:lang w:val="lv-LV"/>
        </w:rPr>
        <w:t>Nodibinājums</w:t>
      </w:r>
      <w:r w:rsidRPr="002F0396">
        <w:rPr>
          <w:lang w:val="lv-LV"/>
        </w:rPr>
        <w:t xml:space="preserve"> "</w:t>
      </w:r>
      <w:proofErr w:type="spellStart"/>
      <w:r w:rsidRPr="002F0396">
        <w:rPr>
          <w:lang w:val="lv-LV"/>
        </w:rPr>
        <w:t>Baltic</w:t>
      </w:r>
      <w:proofErr w:type="spellEnd"/>
      <w:r w:rsidRPr="002F0396">
        <w:rPr>
          <w:lang w:val="lv-LV"/>
        </w:rPr>
        <w:t xml:space="preserve"> </w:t>
      </w:r>
      <w:proofErr w:type="spellStart"/>
      <w:r w:rsidRPr="002F0396">
        <w:rPr>
          <w:lang w:val="lv-LV"/>
        </w:rPr>
        <w:t>Institute</w:t>
      </w:r>
      <w:proofErr w:type="spellEnd"/>
      <w:r w:rsidRPr="002F0396">
        <w:rPr>
          <w:lang w:val="lv-LV"/>
        </w:rPr>
        <w:t xml:space="preserve"> </w:t>
      </w:r>
      <w:proofErr w:type="spellStart"/>
      <w:r w:rsidRPr="002F0396">
        <w:rPr>
          <w:lang w:val="lv-LV"/>
        </w:rPr>
        <w:t>of</w:t>
      </w:r>
      <w:proofErr w:type="spellEnd"/>
      <w:r w:rsidRPr="002F0396">
        <w:rPr>
          <w:lang w:val="lv-LV"/>
        </w:rPr>
        <w:t xml:space="preserve"> </w:t>
      </w:r>
      <w:proofErr w:type="spellStart"/>
      <w:r w:rsidRPr="002F0396">
        <w:rPr>
          <w:lang w:val="lv-LV"/>
        </w:rPr>
        <w:t>Social</w:t>
      </w:r>
      <w:proofErr w:type="spellEnd"/>
      <w:r w:rsidRPr="002F0396">
        <w:rPr>
          <w:lang w:val="lv-LV"/>
        </w:rPr>
        <w:t xml:space="preserve"> </w:t>
      </w:r>
      <w:proofErr w:type="spellStart"/>
      <w:r w:rsidRPr="002F0396">
        <w:rPr>
          <w:lang w:val="lv-LV"/>
        </w:rPr>
        <w:t>Sciences</w:t>
      </w:r>
      <w:proofErr w:type="spellEnd"/>
      <w:r w:rsidRPr="002F0396">
        <w:rPr>
          <w:lang w:val="lv-LV"/>
        </w:rPr>
        <w:t>"</w:t>
      </w:r>
      <w:r>
        <w:rPr>
          <w:lang w:val="lv-LV"/>
        </w:rPr>
        <w:t xml:space="preserve"> VID izziņu par nodokļu maksātāja VID administrēto nodokļu (nodevu) parāda esamību vai neesamību ir iesniedzis par 2018.gada 7.jūliju, kurā norādīts, ka nodokļu maksātājam</w:t>
      </w:r>
      <w:r w:rsidRPr="0060733C">
        <w:rPr>
          <w:lang w:val="lv-LV"/>
        </w:rPr>
        <w:t xml:space="preserve"> nodibinājumam "</w:t>
      </w:r>
      <w:proofErr w:type="spellStart"/>
      <w:r w:rsidRPr="0060733C">
        <w:rPr>
          <w:lang w:val="lv-LV"/>
        </w:rPr>
        <w:t>Baltic</w:t>
      </w:r>
      <w:proofErr w:type="spellEnd"/>
      <w:r w:rsidRPr="0060733C">
        <w:rPr>
          <w:lang w:val="lv-LV"/>
        </w:rPr>
        <w:t xml:space="preserve"> </w:t>
      </w:r>
      <w:proofErr w:type="spellStart"/>
      <w:r w:rsidRPr="0060733C">
        <w:rPr>
          <w:lang w:val="lv-LV"/>
        </w:rPr>
        <w:t>Institute</w:t>
      </w:r>
      <w:proofErr w:type="spellEnd"/>
      <w:r w:rsidRPr="0060733C">
        <w:rPr>
          <w:lang w:val="lv-LV"/>
        </w:rPr>
        <w:t xml:space="preserve"> </w:t>
      </w:r>
      <w:proofErr w:type="spellStart"/>
      <w:r w:rsidRPr="0060733C">
        <w:rPr>
          <w:lang w:val="lv-LV"/>
        </w:rPr>
        <w:t>of</w:t>
      </w:r>
      <w:proofErr w:type="spellEnd"/>
      <w:r w:rsidRPr="0060733C">
        <w:rPr>
          <w:lang w:val="lv-LV"/>
        </w:rPr>
        <w:t xml:space="preserve"> </w:t>
      </w:r>
      <w:proofErr w:type="spellStart"/>
      <w:r w:rsidRPr="0060733C">
        <w:rPr>
          <w:lang w:val="lv-LV"/>
        </w:rPr>
        <w:t>Social</w:t>
      </w:r>
      <w:proofErr w:type="spellEnd"/>
      <w:r w:rsidRPr="0060733C">
        <w:rPr>
          <w:lang w:val="lv-LV"/>
        </w:rPr>
        <w:t xml:space="preserve"> </w:t>
      </w:r>
      <w:proofErr w:type="spellStart"/>
      <w:r w:rsidRPr="0060733C">
        <w:rPr>
          <w:lang w:val="lv-LV"/>
        </w:rPr>
        <w:t>Sciences</w:t>
      </w:r>
      <w:proofErr w:type="spellEnd"/>
      <w:r w:rsidRPr="0060733C">
        <w:rPr>
          <w:lang w:val="lv-LV"/>
        </w:rPr>
        <w:t>"</w:t>
      </w:r>
      <w:r>
        <w:rPr>
          <w:lang w:val="lv-LV"/>
        </w:rPr>
        <w:t xml:space="preserve"> nav VID administrēto nodokļu (nodevu) parāda, kas kopsummā pārsniedz 150,00 </w:t>
      </w:r>
      <w:proofErr w:type="spellStart"/>
      <w:r w:rsidRPr="00495AE1">
        <w:rPr>
          <w:i/>
          <w:lang w:val="lv-LV"/>
        </w:rPr>
        <w:t>euro</w:t>
      </w:r>
      <w:proofErr w:type="spellEnd"/>
      <w:r>
        <w:rPr>
          <w:lang w:val="lv-LV"/>
        </w:rPr>
        <w:t xml:space="preserve">.  Tā kā nākošais administrēto nodokļu (nodevu) aktualizēšanas datums parādnieku datu bāzē pēc 2018.gada 26.jūnija ir 2018.gada 7.jūlijs, tad ar to ir arī izskaidrojams kāpēc VID izziņā </w:t>
      </w:r>
      <w:r w:rsidRPr="00425B32">
        <w:rPr>
          <w:lang w:val="lv-LV"/>
        </w:rPr>
        <w:t>par nodokļu maksātāja VID administrēto nodokļu (nodevu) parāda esamību vai neesamību</w:t>
      </w:r>
      <w:r>
        <w:rPr>
          <w:lang w:val="lv-LV"/>
        </w:rPr>
        <w:t xml:space="preserve"> ir norādīts 2018.gada 7.jūlijs.</w:t>
      </w:r>
    </w:p>
    <w:p w:rsidR="006717CE" w:rsidRPr="00330899" w:rsidRDefault="00E3050A" w:rsidP="00E3050A">
      <w:pPr>
        <w:ind w:firstLine="851"/>
        <w:jc w:val="both"/>
        <w:rPr>
          <w:lang w:val="lv-LV"/>
        </w:rPr>
      </w:pPr>
      <w:r>
        <w:rPr>
          <w:lang w:val="lv-LV"/>
        </w:rPr>
        <w:t>N</w:t>
      </w:r>
      <w:r w:rsidR="006717CE">
        <w:rPr>
          <w:lang w:val="lv-LV"/>
        </w:rPr>
        <w:t xml:space="preserve">odibinājumam </w:t>
      </w:r>
      <w:r w:rsidR="006717CE" w:rsidRPr="00710B03">
        <w:rPr>
          <w:lang w:val="lv-LV"/>
        </w:rPr>
        <w:t>"</w:t>
      </w:r>
      <w:proofErr w:type="spellStart"/>
      <w:r w:rsidR="006717CE" w:rsidRPr="00710B03">
        <w:rPr>
          <w:lang w:val="lv-LV"/>
        </w:rPr>
        <w:t>Baltic</w:t>
      </w:r>
      <w:proofErr w:type="spellEnd"/>
      <w:r w:rsidR="006717CE" w:rsidRPr="00710B03">
        <w:rPr>
          <w:lang w:val="lv-LV"/>
        </w:rPr>
        <w:t xml:space="preserve"> </w:t>
      </w:r>
      <w:proofErr w:type="spellStart"/>
      <w:r w:rsidR="006717CE" w:rsidRPr="00710B03">
        <w:rPr>
          <w:lang w:val="lv-LV"/>
        </w:rPr>
        <w:t>Institute</w:t>
      </w:r>
      <w:proofErr w:type="spellEnd"/>
      <w:r w:rsidR="006717CE" w:rsidRPr="00710B03">
        <w:rPr>
          <w:lang w:val="lv-LV"/>
        </w:rPr>
        <w:t xml:space="preserve"> </w:t>
      </w:r>
      <w:proofErr w:type="spellStart"/>
      <w:r w:rsidR="006717CE" w:rsidRPr="00710B03">
        <w:rPr>
          <w:lang w:val="lv-LV"/>
        </w:rPr>
        <w:t>of</w:t>
      </w:r>
      <w:proofErr w:type="spellEnd"/>
      <w:r w:rsidR="006717CE" w:rsidRPr="00710B03">
        <w:rPr>
          <w:lang w:val="lv-LV"/>
        </w:rPr>
        <w:t xml:space="preserve"> </w:t>
      </w:r>
      <w:proofErr w:type="spellStart"/>
      <w:r w:rsidR="006717CE" w:rsidRPr="00710B03">
        <w:rPr>
          <w:lang w:val="lv-LV"/>
        </w:rPr>
        <w:t>Social</w:t>
      </w:r>
      <w:proofErr w:type="spellEnd"/>
      <w:r w:rsidR="006717CE" w:rsidRPr="00710B03">
        <w:rPr>
          <w:lang w:val="lv-LV"/>
        </w:rPr>
        <w:t xml:space="preserve"> </w:t>
      </w:r>
      <w:proofErr w:type="spellStart"/>
      <w:r w:rsidR="006717CE" w:rsidRPr="00710B03">
        <w:rPr>
          <w:lang w:val="lv-LV"/>
        </w:rPr>
        <w:t>Sciences</w:t>
      </w:r>
      <w:proofErr w:type="spellEnd"/>
      <w:r w:rsidR="006717CE" w:rsidRPr="00710B03">
        <w:rPr>
          <w:lang w:val="lv-LV"/>
        </w:rPr>
        <w:t>"</w:t>
      </w:r>
      <w:r w:rsidR="006717CE">
        <w:rPr>
          <w:lang w:val="lv-LV"/>
        </w:rPr>
        <w:t xml:space="preserve"> piedāvājuma iesniegšanas termiņa pēdējā dienā (</w:t>
      </w:r>
      <w:proofErr w:type="gramStart"/>
      <w:r w:rsidR="006717CE">
        <w:rPr>
          <w:lang w:val="lv-LV"/>
        </w:rPr>
        <w:t>2018.gada</w:t>
      </w:r>
      <w:proofErr w:type="gramEnd"/>
      <w:r w:rsidR="006717CE">
        <w:rPr>
          <w:lang w:val="lv-LV"/>
        </w:rPr>
        <w:t xml:space="preserve"> 11.jūnijs) nebija nodokļu (nodevu) parādi, tajā skaitā valsts sociālās apdrošināšanas obligāto iemaksu parādi, kas kopsummā pārsniedz 150 </w:t>
      </w:r>
      <w:proofErr w:type="spellStart"/>
      <w:r w:rsidR="006717CE" w:rsidRPr="00710B03">
        <w:rPr>
          <w:i/>
          <w:lang w:val="lv-LV"/>
        </w:rPr>
        <w:t>euro</w:t>
      </w:r>
      <w:proofErr w:type="spellEnd"/>
      <w:r w:rsidR="006717CE">
        <w:rPr>
          <w:i/>
          <w:lang w:val="lv-LV"/>
        </w:rPr>
        <w:t xml:space="preserve"> </w:t>
      </w:r>
      <w:r w:rsidR="006717CE" w:rsidRPr="00301CB3">
        <w:rPr>
          <w:lang w:val="lv-LV"/>
        </w:rPr>
        <w:t>(vērtēšanas protokols Nr.2018/53/ESF/</w:t>
      </w:r>
      <w:r w:rsidR="006717CE">
        <w:rPr>
          <w:lang w:val="lv-LV"/>
        </w:rPr>
        <w:t>2</w:t>
      </w:r>
      <w:r w:rsidR="006717CE" w:rsidRPr="00301CB3">
        <w:rPr>
          <w:lang w:val="lv-LV"/>
        </w:rPr>
        <w:t>).</w:t>
      </w:r>
      <w:r w:rsidR="006717CE" w:rsidRPr="00301CB3">
        <w:rPr>
          <w:i/>
          <w:lang w:val="lv-LV"/>
        </w:rPr>
        <w:t xml:space="preserve"> </w:t>
      </w:r>
      <w:r w:rsidR="006717CE" w:rsidRPr="00710B03">
        <w:rPr>
          <w:lang w:val="lv-LV"/>
        </w:rPr>
        <w:t xml:space="preserve">  </w:t>
      </w:r>
    </w:p>
    <w:p w:rsidR="006717CE" w:rsidRPr="005168A0" w:rsidRDefault="006717CE" w:rsidP="00E3050A">
      <w:pPr>
        <w:ind w:firstLine="720"/>
        <w:jc w:val="both"/>
        <w:rPr>
          <w:lang w:val="lv-LV"/>
        </w:rPr>
      </w:pPr>
      <w:r>
        <w:rPr>
          <w:lang w:val="lv-LV"/>
        </w:rPr>
        <w:t xml:space="preserve"> Ņemot vērā, ka Iepirkumu komisija par līgumslēgšanas tiesību piešķiršanu </w:t>
      </w:r>
      <w:r w:rsidRPr="00B2178E">
        <w:rPr>
          <w:lang w:val="lv-LV"/>
        </w:rPr>
        <w:t>SIA "</w:t>
      </w:r>
      <w:proofErr w:type="spellStart"/>
      <w:r w:rsidRPr="00B2178E">
        <w:rPr>
          <w:lang w:val="lv-LV"/>
        </w:rPr>
        <w:t>Comperio</w:t>
      </w:r>
      <w:proofErr w:type="spellEnd"/>
      <w:r w:rsidRPr="00B2178E">
        <w:rPr>
          <w:lang w:val="lv-LV"/>
        </w:rPr>
        <w:t>"</w:t>
      </w:r>
      <w:r>
        <w:rPr>
          <w:lang w:val="lv-LV"/>
        </w:rPr>
        <w:t xml:space="preserve"> lēma </w:t>
      </w:r>
      <w:proofErr w:type="gramStart"/>
      <w:r>
        <w:rPr>
          <w:lang w:val="lv-LV"/>
        </w:rPr>
        <w:t>2018.gada</w:t>
      </w:r>
      <w:proofErr w:type="gramEnd"/>
      <w:r>
        <w:rPr>
          <w:lang w:val="lv-LV"/>
        </w:rPr>
        <w:t xml:space="preserve"> 28.jūnijā </w:t>
      </w:r>
      <w:r w:rsidRPr="008448F8">
        <w:rPr>
          <w:lang w:val="lv-LV"/>
        </w:rPr>
        <w:t>(vērtēšanas protokols Nr.2018/</w:t>
      </w:r>
      <w:r>
        <w:rPr>
          <w:lang w:val="lv-LV"/>
        </w:rPr>
        <w:t>53</w:t>
      </w:r>
      <w:r w:rsidRPr="008448F8">
        <w:rPr>
          <w:lang w:val="lv-LV"/>
        </w:rPr>
        <w:t>/ESF/</w:t>
      </w:r>
      <w:r>
        <w:rPr>
          <w:lang w:val="lv-LV"/>
        </w:rPr>
        <w:t>3</w:t>
      </w:r>
      <w:r w:rsidRPr="008448F8">
        <w:rPr>
          <w:lang w:val="lv-LV"/>
        </w:rPr>
        <w:t>)</w:t>
      </w:r>
      <w:r>
        <w:rPr>
          <w:lang w:val="lv-LV"/>
        </w:rPr>
        <w:t xml:space="preserve"> un VID </w:t>
      </w:r>
      <w:r w:rsidRPr="002F0396">
        <w:rPr>
          <w:lang w:val="lv-LV"/>
        </w:rPr>
        <w:t>2018.gada 5.jūlij</w:t>
      </w:r>
      <w:r>
        <w:rPr>
          <w:lang w:val="lv-LV"/>
        </w:rPr>
        <w:t xml:space="preserve">ā pieņemto Lēmumu </w:t>
      </w:r>
      <w:r w:rsidRPr="00B2178E">
        <w:rPr>
          <w:lang w:val="lv-LV"/>
        </w:rPr>
        <w:t xml:space="preserve">sadalīt termiņos uz laiku no 2018.gada 16.jūnija līdz 2019.gada 5.jūnijam VSAOI </w:t>
      </w:r>
      <w:r>
        <w:rPr>
          <w:lang w:val="lv-LV"/>
        </w:rPr>
        <w:t xml:space="preserve">samaksu un </w:t>
      </w:r>
      <w:r w:rsidRPr="00B2178E">
        <w:rPr>
          <w:lang w:val="lv-LV"/>
        </w:rPr>
        <w:t>no 2018.gada 26.jūnija līdz 2019.gada 15.jūnijam IIN samak</w:t>
      </w:r>
      <w:r>
        <w:rPr>
          <w:lang w:val="lv-LV"/>
        </w:rPr>
        <w:t xml:space="preserve">su, Iepirkumu komisija uzskata, ka VID </w:t>
      </w:r>
      <w:r w:rsidRPr="002F0396">
        <w:rPr>
          <w:lang w:val="lv-LV"/>
        </w:rPr>
        <w:t xml:space="preserve">2018.gada 5.jūlija </w:t>
      </w:r>
      <w:r>
        <w:rPr>
          <w:lang w:val="lv-LV"/>
        </w:rPr>
        <w:t xml:space="preserve">Lēmums apliecina nodibinājuma </w:t>
      </w:r>
      <w:r w:rsidRPr="00B1454E">
        <w:rPr>
          <w:lang w:val="lv-LV"/>
        </w:rPr>
        <w:t>"</w:t>
      </w:r>
      <w:proofErr w:type="spellStart"/>
      <w:r w:rsidRPr="00B1454E">
        <w:rPr>
          <w:lang w:val="lv-LV"/>
        </w:rPr>
        <w:t>Baltic</w:t>
      </w:r>
      <w:proofErr w:type="spellEnd"/>
      <w:r w:rsidRPr="00B1454E">
        <w:rPr>
          <w:lang w:val="lv-LV"/>
        </w:rPr>
        <w:t xml:space="preserve"> </w:t>
      </w:r>
      <w:proofErr w:type="spellStart"/>
      <w:r w:rsidRPr="00B1454E">
        <w:rPr>
          <w:lang w:val="lv-LV"/>
        </w:rPr>
        <w:t>Institute</w:t>
      </w:r>
      <w:proofErr w:type="spellEnd"/>
      <w:r w:rsidRPr="00B1454E">
        <w:rPr>
          <w:lang w:val="lv-LV"/>
        </w:rPr>
        <w:t xml:space="preserve"> </w:t>
      </w:r>
      <w:proofErr w:type="spellStart"/>
      <w:r w:rsidRPr="00B1454E">
        <w:rPr>
          <w:lang w:val="lv-LV"/>
        </w:rPr>
        <w:t>of</w:t>
      </w:r>
      <w:proofErr w:type="spellEnd"/>
      <w:r w:rsidRPr="00B1454E">
        <w:rPr>
          <w:lang w:val="lv-LV"/>
        </w:rPr>
        <w:t xml:space="preserve"> </w:t>
      </w:r>
      <w:proofErr w:type="spellStart"/>
      <w:r w:rsidRPr="00B1454E">
        <w:rPr>
          <w:lang w:val="lv-LV"/>
        </w:rPr>
        <w:t>Social</w:t>
      </w:r>
      <w:proofErr w:type="spellEnd"/>
      <w:r w:rsidRPr="00B1454E">
        <w:rPr>
          <w:lang w:val="lv-LV"/>
        </w:rPr>
        <w:t xml:space="preserve"> </w:t>
      </w:r>
      <w:proofErr w:type="spellStart"/>
      <w:r w:rsidRPr="00B1454E">
        <w:rPr>
          <w:lang w:val="lv-LV"/>
        </w:rPr>
        <w:t>Sciences</w:t>
      </w:r>
      <w:proofErr w:type="spellEnd"/>
      <w:r w:rsidRPr="00B1454E">
        <w:rPr>
          <w:lang w:val="lv-LV"/>
        </w:rPr>
        <w:t>"</w:t>
      </w:r>
      <w:r>
        <w:rPr>
          <w:lang w:val="lv-LV"/>
        </w:rPr>
        <w:t xml:space="preserve"> iesniegtās dokumentācijas atbilstību Likuma 9.panta</w:t>
      </w:r>
      <w:r w:rsidRPr="00606982">
        <w:rPr>
          <w:lang w:val="lv-LV"/>
        </w:rPr>
        <w:t xml:space="preserve"> 11.daļa</w:t>
      </w:r>
      <w:r>
        <w:rPr>
          <w:lang w:val="lv-LV"/>
        </w:rPr>
        <w:t xml:space="preserve">s 3.punktam, kas nosaka, ka </w:t>
      </w:r>
      <w:r w:rsidRPr="00C43469">
        <w:rPr>
          <w:i/>
          <w:lang w:val="lv-LV"/>
        </w:rPr>
        <w:t xml:space="preserve">pretendents, lai apliecinātu, ka tam un šā panta astotās daļas 4. punktā minētajai personai nebija nodokļu parādu, tai skaitā valsts sociālās </w:t>
      </w:r>
      <w:r w:rsidRPr="00C43469">
        <w:rPr>
          <w:i/>
          <w:lang w:val="lv-LV"/>
        </w:rPr>
        <w:lastRenderedPageBreak/>
        <w:t xml:space="preserve">apdrošināšanas obligāto iemaksu parādu, kas kopsummā Latvijā pārsniedz 150 </w:t>
      </w:r>
      <w:proofErr w:type="spellStart"/>
      <w:r w:rsidRPr="00C43469">
        <w:rPr>
          <w:i/>
          <w:lang w:val="lv-LV"/>
        </w:rPr>
        <w:t>euro</w:t>
      </w:r>
      <w:proofErr w:type="spellEnd"/>
      <w:r w:rsidRPr="00C43469">
        <w:rPr>
          <w:i/>
          <w:lang w:val="lv-LV"/>
        </w:rPr>
        <w:t>, šā panta desmitās daļas 2. punktā minētajā termiņā iesniedz Valsts ieņēmumu dienesta vai pašvaldības kompetentās institūcijas izdota lēmuma kopiju par nodokļu samaksas termiņa pagarināšanu vai atlikšanu vai citus objektīvus pierādījumus par nodokļu parādu neesību.</w:t>
      </w:r>
      <w:r w:rsidRPr="00606982">
        <w:rPr>
          <w:lang w:val="lv-LV"/>
        </w:rPr>
        <w:t xml:space="preserve"> </w:t>
      </w:r>
    </w:p>
    <w:p w:rsidR="006717CE" w:rsidRPr="00A532B5" w:rsidRDefault="006717CE" w:rsidP="006717CE">
      <w:pPr>
        <w:spacing w:before="120" w:after="120"/>
        <w:ind w:firstLine="709"/>
        <w:rPr>
          <w:b/>
          <w:u w:val="single"/>
          <w:lang w:val="lv-LV"/>
        </w:rPr>
      </w:pPr>
      <w:r w:rsidRPr="00A532B5">
        <w:rPr>
          <w:b/>
          <w:u w:val="single"/>
          <w:lang w:val="lv-LV"/>
        </w:rPr>
        <w:t>Iepirkumu komisijas lēmums:</w:t>
      </w:r>
    </w:p>
    <w:p w:rsidR="006717CE" w:rsidRPr="00746E8E" w:rsidRDefault="006717CE" w:rsidP="00E3050A">
      <w:pPr>
        <w:ind w:firstLine="709"/>
        <w:jc w:val="both"/>
        <w:rPr>
          <w:lang w:val="lv-LV"/>
        </w:rPr>
      </w:pPr>
      <w:r w:rsidRPr="00A532B5">
        <w:rPr>
          <w:lang w:val="lv-LV"/>
        </w:rPr>
        <w:t xml:space="preserve">1. Par Pārvaldes rīkotā Iepirkuma uzvarētāju atzīt un līguma slēgšanas tiesības piešķirt </w:t>
      </w:r>
      <w:r w:rsidRPr="00746E8E">
        <w:rPr>
          <w:lang w:val="lv-LV"/>
        </w:rPr>
        <w:t>SIA "</w:t>
      </w:r>
      <w:proofErr w:type="spellStart"/>
      <w:r w:rsidRPr="00746E8E">
        <w:rPr>
          <w:lang w:val="lv-LV"/>
        </w:rPr>
        <w:t>Comperio</w:t>
      </w:r>
      <w:proofErr w:type="spellEnd"/>
      <w:r w:rsidRPr="00746E8E">
        <w:rPr>
          <w:lang w:val="lv-LV"/>
        </w:rPr>
        <w:t>" (reģistrācijas Nr. 40003676807)</w:t>
      </w:r>
      <w:r>
        <w:rPr>
          <w:lang w:val="lv-LV"/>
        </w:rPr>
        <w:t xml:space="preserve">, </w:t>
      </w:r>
      <w:r w:rsidRPr="00A532B5">
        <w:rPr>
          <w:bCs/>
          <w:lang w:val="lv-LV" w:eastAsia="lv-LV"/>
        </w:rPr>
        <w:t xml:space="preserve">juridiskā adrese: </w:t>
      </w:r>
      <w:r w:rsidRPr="00746E8E">
        <w:rPr>
          <w:lang w:val="lv-LV"/>
        </w:rPr>
        <w:t>Rostokas ielā 50 – 13, Rīga, LV-1029</w:t>
      </w:r>
      <w:r>
        <w:rPr>
          <w:lang w:val="lv-LV"/>
        </w:rPr>
        <w:t>.</w:t>
      </w:r>
    </w:p>
    <w:p w:rsidR="006717CE" w:rsidRPr="00A532B5" w:rsidRDefault="006717CE" w:rsidP="00E3050A">
      <w:pPr>
        <w:ind w:right="49" w:firstLine="709"/>
        <w:jc w:val="both"/>
        <w:rPr>
          <w:lang w:val="lv-LV"/>
        </w:rPr>
      </w:pPr>
      <w:r w:rsidRPr="00A532B5">
        <w:rPr>
          <w:lang w:val="lv-LV"/>
        </w:rPr>
        <w:t>2. Saskaņā ar Likuma 9. panta četrpadsmitās daļas nosacījumiem informēt pretendentus par Iepirkumu komisijas lēmuma 1.punktā norādīto 3 (triju) darbdienu laikā pēc Iepirkumu komisijas lēmuma pieņemšanas.</w:t>
      </w:r>
    </w:p>
    <w:p w:rsidR="006717CE" w:rsidRPr="00A532B5" w:rsidRDefault="006717CE" w:rsidP="00E3050A">
      <w:pPr>
        <w:ind w:firstLine="709"/>
        <w:jc w:val="both"/>
        <w:rPr>
          <w:lang w:val="lv-LV"/>
        </w:rPr>
      </w:pPr>
      <w:r>
        <w:rPr>
          <w:lang w:val="lv-LV"/>
        </w:rPr>
        <w:t>3</w:t>
      </w:r>
      <w:r w:rsidRPr="00A532B5">
        <w:rPr>
          <w:lang w:val="lv-LV"/>
        </w:rPr>
        <w:t xml:space="preserve">. Saskaņā ar Likuma </w:t>
      </w:r>
      <w:proofErr w:type="gramStart"/>
      <w:r w:rsidRPr="00A532B5">
        <w:rPr>
          <w:bCs/>
          <w:lang w:val="lv-LV"/>
        </w:rPr>
        <w:t>9.panta</w:t>
      </w:r>
      <w:proofErr w:type="gramEnd"/>
      <w:r w:rsidRPr="00A532B5">
        <w:rPr>
          <w:bCs/>
          <w:lang w:val="lv-LV"/>
        </w:rPr>
        <w:t xml:space="preserve"> septiņpadsmito </w:t>
      </w:r>
      <w:r w:rsidRPr="00A532B5">
        <w:rPr>
          <w:lang w:val="lv-LV"/>
        </w:rPr>
        <w:t xml:space="preserve">daļu 10 (desmit) darbdienu laikā pēc līguma noslēgšanas publicēt informatīvu paziņojumu Iepirkumu uzraudzības biroja tīmekļa vietnē par noslēgto līgumu. </w:t>
      </w:r>
    </w:p>
    <w:p w:rsidR="006717CE" w:rsidRDefault="006717CE" w:rsidP="00295687">
      <w:pPr>
        <w:ind w:firstLine="720"/>
        <w:rPr>
          <w:rFonts w:eastAsia="Calibri"/>
          <w:noProof/>
          <w:color w:val="00000A"/>
          <w:lang w:val="lv-LV"/>
        </w:rPr>
      </w:pPr>
    </w:p>
    <w:p w:rsidR="008A401D" w:rsidRDefault="008A401D" w:rsidP="00295687">
      <w:pPr>
        <w:ind w:firstLine="720"/>
        <w:rPr>
          <w:rFonts w:eastAsia="Calibri"/>
          <w:noProof/>
          <w:color w:val="00000A"/>
          <w:lang w:val="lv-LV"/>
        </w:rPr>
      </w:pPr>
    </w:p>
    <w:p w:rsidR="008A401D" w:rsidRPr="007103DA" w:rsidRDefault="008A401D" w:rsidP="008A401D">
      <w:pPr>
        <w:ind w:firstLine="142"/>
        <w:rPr>
          <w:rFonts w:eastAsia="Calibri"/>
          <w:noProof/>
          <w:color w:val="00000A"/>
          <w:lang w:val="lv-LV"/>
        </w:rPr>
        <w:sectPr w:rsidR="008A401D" w:rsidRPr="007103DA" w:rsidSect="00CE06F9">
          <w:pgSz w:w="11906" w:h="16838"/>
          <w:pgMar w:top="1134" w:right="1134" w:bottom="1134" w:left="1701" w:header="709" w:footer="709" w:gutter="0"/>
          <w:cols w:space="708"/>
          <w:titlePg/>
          <w:docGrid w:linePitch="360"/>
        </w:sectPr>
      </w:pPr>
      <w:r w:rsidRPr="008A401D">
        <w:rPr>
          <w:rFonts w:eastAsia="Calibri"/>
          <w:noProof/>
          <w:color w:val="00000A"/>
          <w:lang w:val="lv-LV"/>
        </w:rPr>
        <w:t xml:space="preserve">Sagatavotājs:                                                                                                           </w:t>
      </w:r>
      <w:r>
        <w:rPr>
          <w:rFonts w:eastAsia="Calibri"/>
          <w:noProof/>
          <w:color w:val="00000A"/>
          <w:lang w:val="lv-LV"/>
        </w:rPr>
        <w:t>A.Graudiņ</w:t>
      </w:r>
      <w:r w:rsidR="00F36B1A">
        <w:rPr>
          <w:rFonts w:eastAsia="Calibri"/>
          <w:noProof/>
          <w:color w:val="00000A"/>
          <w:lang w:val="lv-LV"/>
        </w:rPr>
        <w:t>a</w:t>
      </w:r>
    </w:p>
    <w:p w:rsidR="00294BD4" w:rsidRPr="00641F33" w:rsidRDefault="008F4867" w:rsidP="00F36B1A">
      <w:pPr>
        <w:ind w:right="-711"/>
        <w:rPr>
          <w:lang w:val="lv-LV"/>
        </w:rPr>
      </w:pPr>
      <w:r>
        <w:rPr>
          <w:rFonts w:eastAsiaTheme="minorHAnsi"/>
          <w:noProof/>
          <w:lang w:val="lv-LV"/>
        </w:rPr>
        <w:lastRenderedPageBreak/>
        <w:t xml:space="preserve">                   </w:t>
      </w:r>
    </w:p>
    <w:sectPr w:rsidR="00294BD4" w:rsidRPr="00641F33" w:rsidSect="004A4253">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25D" w:rsidRDefault="0016725D" w:rsidP="00B67C54">
      <w:r>
        <w:separator/>
      </w:r>
    </w:p>
  </w:endnote>
  <w:endnote w:type="continuationSeparator" w:id="0">
    <w:p w:rsidR="0016725D" w:rsidRDefault="0016725D"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922366"/>
      <w:docPartObj>
        <w:docPartGallery w:val="Page Numbers (Bottom of Page)"/>
        <w:docPartUnique/>
      </w:docPartObj>
    </w:sdtPr>
    <w:sdtEndPr>
      <w:rPr>
        <w:noProof/>
      </w:rPr>
    </w:sdtEndPr>
    <w:sdtContent>
      <w:p w:rsidR="006717CE" w:rsidRDefault="006717C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6717CE" w:rsidRDefault="006717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17CE" w:rsidRPr="006717CE" w:rsidRDefault="006717CE" w:rsidP="006717CE">
    <w:pPr>
      <w:pStyle w:val="Footer"/>
      <w:jc w:val="center"/>
      <w:rPr>
        <w:lang w:val="lv-LV"/>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25D" w:rsidRDefault="0016725D" w:rsidP="00B67C54">
      <w:r>
        <w:separator/>
      </w:r>
    </w:p>
  </w:footnote>
  <w:footnote w:type="continuationSeparator" w:id="0">
    <w:p w:rsidR="0016725D" w:rsidRDefault="0016725D" w:rsidP="00B67C54">
      <w:r>
        <w:continuationSeparator/>
      </w:r>
    </w:p>
  </w:footnote>
  <w:footnote w:id="1">
    <w:p w:rsidR="006717CE" w:rsidRPr="0061711D" w:rsidRDefault="006717CE" w:rsidP="006717CE">
      <w:pPr>
        <w:pStyle w:val="FootnoteText"/>
      </w:pPr>
      <w:r w:rsidRPr="0061711D">
        <w:rPr>
          <w:rStyle w:val="FootnoteReference"/>
        </w:rPr>
        <w:footnoteRef/>
      </w:r>
      <w:r w:rsidRPr="0061711D">
        <w:t xml:space="preserve"> </w:t>
      </w:r>
      <w:proofErr w:type="spellStart"/>
      <w:r w:rsidRPr="0061711D">
        <w:t>Iepirkumu</w:t>
      </w:r>
      <w:proofErr w:type="spellEnd"/>
      <w:r w:rsidRPr="0061711D">
        <w:t xml:space="preserve"> </w:t>
      </w:r>
      <w:proofErr w:type="spellStart"/>
      <w:r w:rsidRPr="0061711D">
        <w:t>uzraudzības</w:t>
      </w:r>
      <w:proofErr w:type="spellEnd"/>
      <w:r w:rsidRPr="0061711D">
        <w:t xml:space="preserve"> </w:t>
      </w:r>
      <w:proofErr w:type="spellStart"/>
      <w:r w:rsidRPr="0061711D">
        <w:t>birojs</w:t>
      </w:r>
      <w:proofErr w:type="spellEnd"/>
      <w:r w:rsidRPr="0061711D">
        <w:t xml:space="preserve"> “</w:t>
      </w:r>
      <w:proofErr w:type="spellStart"/>
      <w:r w:rsidRPr="0061711D">
        <w:t>Skaidrojumu</w:t>
      </w:r>
      <w:proofErr w:type="spellEnd"/>
      <w:r w:rsidRPr="0061711D">
        <w:t xml:space="preserve"> par </w:t>
      </w:r>
      <w:proofErr w:type="spellStart"/>
      <w:r w:rsidRPr="0061711D">
        <w:t>nodokļu</w:t>
      </w:r>
      <w:proofErr w:type="spellEnd"/>
      <w:r w:rsidRPr="0061711D">
        <w:t xml:space="preserve"> </w:t>
      </w:r>
      <w:proofErr w:type="spellStart"/>
      <w:r w:rsidRPr="0061711D">
        <w:t>parādu</w:t>
      </w:r>
      <w:proofErr w:type="spellEnd"/>
      <w:r w:rsidRPr="0061711D">
        <w:t xml:space="preserve"> </w:t>
      </w:r>
      <w:proofErr w:type="spellStart"/>
      <w:r w:rsidRPr="0061711D">
        <w:t>neesamības</w:t>
      </w:r>
      <w:proofErr w:type="spellEnd"/>
      <w:r w:rsidRPr="0061711D">
        <w:t xml:space="preserve"> </w:t>
      </w:r>
      <w:proofErr w:type="spellStart"/>
      <w:r w:rsidRPr="0061711D">
        <w:t>apliecināšanu</w:t>
      </w:r>
      <w:proofErr w:type="spellEnd"/>
      <w:r w:rsidRPr="0061711D">
        <w:t xml:space="preserve">” (01.06.2018). </w:t>
      </w:r>
      <w:proofErr w:type="spellStart"/>
      <w:r w:rsidRPr="0061711D">
        <w:t>Iegūts</w:t>
      </w:r>
      <w:proofErr w:type="spellEnd"/>
      <w:r w:rsidRPr="0061711D">
        <w:t xml:space="preserve"> 13.07.2018. no https://www.iub.gov.lv/sites/default/files/upload/skaidrojums_nodoklu_neesibas_apliecinasanap_20180601.pdf</w:t>
      </w:r>
    </w:p>
  </w:footnote>
  <w:footnote w:id="2">
    <w:p w:rsidR="006717CE" w:rsidRDefault="006717CE" w:rsidP="006717CE">
      <w:pPr>
        <w:pStyle w:val="FootnoteText"/>
      </w:pPr>
      <w:r w:rsidRPr="0061711D">
        <w:rPr>
          <w:rStyle w:val="FootnoteReference"/>
        </w:rPr>
        <w:footnoteRef/>
      </w:r>
      <w:r w:rsidRPr="0061711D">
        <w:t xml:space="preserve"> </w:t>
      </w:r>
      <w:proofErr w:type="spellStart"/>
      <w:r w:rsidRPr="0061711D">
        <w:t>Valsts</w:t>
      </w:r>
      <w:proofErr w:type="spellEnd"/>
      <w:r w:rsidRPr="0061711D">
        <w:t xml:space="preserve"> </w:t>
      </w:r>
      <w:proofErr w:type="spellStart"/>
      <w:r w:rsidRPr="0061711D">
        <w:t>ieņēmumu</w:t>
      </w:r>
      <w:proofErr w:type="spellEnd"/>
      <w:r w:rsidRPr="0061711D">
        <w:t xml:space="preserve"> </w:t>
      </w:r>
      <w:proofErr w:type="spellStart"/>
      <w:r w:rsidRPr="0061711D">
        <w:t>dienesta</w:t>
      </w:r>
      <w:proofErr w:type="spellEnd"/>
      <w:r w:rsidRPr="0061711D">
        <w:t xml:space="preserve"> </w:t>
      </w:r>
      <w:proofErr w:type="spellStart"/>
      <w:r w:rsidRPr="0061711D">
        <w:t>informatīvais</w:t>
      </w:r>
      <w:proofErr w:type="spellEnd"/>
      <w:r w:rsidRPr="0061711D">
        <w:t xml:space="preserve"> </w:t>
      </w:r>
      <w:proofErr w:type="spellStart"/>
      <w:r w:rsidRPr="0061711D">
        <w:t>materiāls</w:t>
      </w:r>
      <w:proofErr w:type="spellEnd"/>
      <w:r w:rsidRPr="0061711D">
        <w:t xml:space="preserve"> “Par VID </w:t>
      </w:r>
      <w:proofErr w:type="spellStart"/>
      <w:r w:rsidRPr="0061711D">
        <w:t>administrēto</w:t>
      </w:r>
      <w:proofErr w:type="spellEnd"/>
      <w:r w:rsidRPr="0061711D">
        <w:t xml:space="preserve"> </w:t>
      </w:r>
      <w:proofErr w:type="spellStart"/>
      <w:r w:rsidRPr="0061711D">
        <w:t>nodokļu</w:t>
      </w:r>
      <w:proofErr w:type="spellEnd"/>
      <w:r w:rsidRPr="0061711D">
        <w:t xml:space="preserve"> (</w:t>
      </w:r>
      <w:proofErr w:type="spellStart"/>
      <w:r w:rsidRPr="0061711D">
        <w:t>nodevu</w:t>
      </w:r>
      <w:proofErr w:type="spellEnd"/>
      <w:r w:rsidRPr="0061711D">
        <w:t xml:space="preserve">) </w:t>
      </w:r>
      <w:proofErr w:type="spellStart"/>
      <w:r w:rsidRPr="0061711D">
        <w:t>parādnieku</w:t>
      </w:r>
      <w:proofErr w:type="spellEnd"/>
      <w:r w:rsidRPr="0061711D">
        <w:t xml:space="preserve"> </w:t>
      </w:r>
      <w:proofErr w:type="spellStart"/>
      <w:r w:rsidRPr="0061711D">
        <w:t>datu</w:t>
      </w:r>
      <w:proofErr w:type="spellEnd"/>
      <w:r w:rsidRPr="0061711D">
        <w:t xml:space="preserve"> </w:t>
      </w:r>
      <w:proofErr w:type="spellStart"/>
      <w:r w:rsidRPr="0061711D">
        <w:t>bāzi</w:t>
      </w:r>
      <w:proofErr w:type="spellEnd"/>
      <w:r w:rsidRPr="0061711D">
        <w:t xml:space="preserve">”. </w:t>
      </w:r>
      <w:proofErr w:type="spellStart"/>
      <w:r w:rsidRPr="0061711D">
        <w:t>Iegūts</w:t>
      </w:r>
      <w:proofErr w:type="spellEnd"/>
      <w:r w:rsidRPr="0061711D">
        <w:t xml:space="preserve"> 13.07.2018. no https://www.vid.gov.lv/sites/default/files/Informat%C4%ABvais%20materi%C4%81ls%20par%20VID%20administr%C4%93to%20nodok%C4%BCu%20%28nodevu%29%20par%C4%81dnieku%20datu%20b%C4%81zi_0.doc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9796683"/>
      <w:docPartObj>
        <w:docPartGallery w:val="Page Numbers (Top of Page)"/>
        <w:docPartUnique/>
      </w:docPartObj>
    </w:sdtPr>
    <w:sdtEndPr>
      <w:rPr>
        <w:noProof/>
      </w:rPr>
    </w:sdtEndPr>
    <w:sdtContent>
      <w:p w:rsidR="00242451" w:rsidRDefault="006717CE">
        <w:pPr>
          <w:pStyle w:val="Header"/>
          <w:jc w:val="center"/>
        </w:pPr>
        <w:r>
          <w:rPr>
            <w:noProof/>
          </w:rPr>
          <w:drawing>
            <wp:inline distT="0" distB="0" distL="0" distR="0" wp14:anchorId="5FAC7200">
              <wp:extent cx="4151630" cy="701040"/>
              <wp:effectExtent l="0" t="0" r="127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1630" cy="701040"/>
                      </a:xfrm>
                      <a:prstGeom prst="rect">
                        <a:avLst/>
                      </a:prstGeom>
                      <a:noFill/>
                    </pic:spPr>
                  </pic:pic>
                </a:graphicData>
              </a:graphic>
            </wp:inline>
          </w:drawing>
        </w:r>
      </w:p>
    </w:sdtContent>
  </w:sdt>
  <w:p w:rsidR="00242451" w:rsidRDefault="002424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5B6" w:rsidRDefault="006925B6" w:rsidP="006925B6">
    <w:pPr>
      <w:pStyle w:val="Header"/>
      <w:jc w:val="center"/>
    </w:pPr>
    <w:r>
      <w:rPr>
        <w:noProof/>
      </w:rPr>
      <w:drawing>
        <wp:inline distT="0" distB="0" distL="0" distR="0" wp14:anchorId="76F9167F" wp14:editId="4CE0F21C">
          <wp:extent cx="4152900" cy="699570"/>
          <wp:effectExtent l="0" t="0" r="0" b="5715"/>
          <wp:docPr id="2" name="Attēls 2" descr="cid:image001.jpg@01D34DA2.DA2BCA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descr="cid:image001.jpg@01D34DA2.DA2BCA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164400" cy="701507"/>
                  </a:xfrm>
                  <a:prstGeom prst="rect">
                    <a:avLst/>
                  </a:prstGeom>
                  <a:noFill/>
                  <a:ln>
                    <a:noFill/>
                  </a:ln>
                </pic:spPr>
              </pic:pic>
            </a:graphicData>
          </a:graphic>
        </wp:inline>
      </w:drawing>
    </w:r>
  </w:p>
  <w:p w:rsidR="006925B6" w:rsidRDefault="006925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1B8C062E"/>
    <w:multiLevelType w:val="hybridMultilevel"/>
    <w:tmpl w:val="7130AB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E206B18"/>
    <w:multiLevelType w:val="hybridMultilevel"/>
    <w:tmpl w:val="2BA492AC"/>
    <w:lvl w:ilvl="0" w:tplc="9ADA4B0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F4670F2"/>
    <w:multiLevelType w:val="hybridMultilevel"/>
    <w:tmpl w:val="84D68E96"/>
    <w:lvl w:ilvl="0" w:tplc="04090011">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5"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8"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1DB228B"/>
    <w:multiLevelType w:val="hybridMultilevel"/>
    <w:tmpl w:val="79845C5A"/>
    <w:lvl w:ilvl="0" w:tplc="21F651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5"/>
  </w:num>
  <w:num w:numId="3">
    <w:abstractNumId w:val="10"/>
  </w:num>
  <w:num w:numId="4">
    <w:abstractNumId w:val="6"/>
  </w:num>
  <w:num w:numId="5">
    <w:abstractNumId w:val="9"/>
  </w:num>
  <w:num w:numId="6">
    <w:abstractNumId w:val="7"/>
  </w:num>
  <w:num w:numId="7">
    <w:abstractNumId w:val="1"/>
  </w:num>
  <w:num w:numId="8">
    <w:abstractNumId w:val="0"/>
  </w:num>
  <w:num w:numId="9">
    <w:abstractNumId w:val="3"/>
  </w:num>
  <w:num w:numId="10">
    <w:abstractNumId w:val="11"/>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C54"/>
    <w:rsid w:val="0000064A"/>
    <w:rsid w:val="00007239"/>
    <w:rsid w:val="000105FA"/>
    <w:rsid w:val="00012241"/>
    <w:rsid w:val="00026B37"/>
    <w:rsid w:val="000443F6"/>
    <w:rsid w:val="000477BE"/>
    <w:rsid w:val="00050E94"/>
    <w:rsid w:val="00054E94"/>
    <w:rsid w:val="00073F51"/>
    <w:rsid w:val="0007686C"/>
    <w:rsid w:val="00076E0F"/>
    <w:rsid w:val="00081FB2"/>
    <w:rsid w:val="000957F1"/>
    <w:rsid w:val="00096F94"/>
    <w:rsid w:val="000A32AA"/>
    <w:rsid w:val="000A5A28"/>
    <w:rsid w:val="000B42F7"/>
    <w:rsid w:val="000C36C9"/>
    <w:rsid w:val="000E6730"/>
    <w:rsid w:val="0010233F"/>
    <w:rsid w:val="00102985"/>
    <w:rsid w:val="001127A1"/>
    <w:rsid w:val="00114FB4"/>
    <w:rsid w:val="00123A45"/>
    <w:rsid w:val="00123B51"/>
    <w:rsid w:val="001262BC"/>
    <w:rsid w:val="00135CC9"/>
    <w:rsid w:val="00150EA7"/>
    <w:rsid w:val="001544A9"/>
    <w:rsid w:val="0016725D"/>
    <w:rsid w:val="00190784"/>
    <w:rsid w:val="001C1116"/>
    <w:rsid w:val="001C6806"/>
    <w:rsid w:val="001D39AB"/>
    <w:rsid w:val="001E714E"/>
    <w:rsid w:val="001F1A8B"/>
    <w:rsid w:val="001F45E5"/>
    <w:rsid w:val="001F6939"/>
    <w:rsid w:val="00200417"/>
    <w:rsid w:val="00201789"/>
    <w:rsid w:val="0021383B"/>
    <w:rsid w:val="00217209"/>
    <w:rsid w:val="002236DB"/>
    <w:rsid w:val="00225B64"/>
    <w:rsid w:val="00235B09"/>
    <w:rsid w:val="00235F4B"/>
    <w:rsid w:val="00242451"/>
    <w:rsid w:val="00243D00"/>
    <w:rsid w:val="00246D75"/>
    <w:rsid w:val="0025575C"/>
    <w:rsid w:val="002578B5"/>
    <w:rsid w:val="002640E2"/>
    <w:rsid w:val="00266959"/>
    <w:rsid w:val="00277072"/>
    <w:rsid w:val="002807BE"/>
    <w:rsid w:val="00281316"/>
    <w:rsid w:val="00292F36"/>
    <w:rsid w:val="00294BD4"/>
    <w:rsid w:val="00295687"/>
    <w:rsid w:val="002979FE"/>
    <w:rsid w:val="002A279C"/>
    <w:rsid w:val="002B4176"/>
    <w:rsid w:val="002B4BE8"/>
    <w:rsid w:val="002D75B0"/>
    <w:rsid w:val="002E5C1C"/>
    <w:rsid w:val="002F6D46"/>
    <w:rsid w:val="00300D45"/>
    <w:rsid w:val="00302EB4"/>
    <w:rsid w:val="0030539E"/>
    <w:rsid w:val="003201B4"/>
    <w:rsid w:val="003356FD"/>
    <w:rsid w:val="00336526"/>
    <w:rsid w:val="003405D0"/>
    <w:rsid w:val="00342039"/>
    <w:rsid w:val="0034356C"/>
    <w:rsid w:val="00345836"/>
    <w:rsid w:val="00350BFD"/>
    <w:rsid w:val="003639B4"/>
    <w:rsid w:val="003678A1"/>
    <w:rsid w:val="00373266"/>
    <w:rsid w:val="00382447"/>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DCC"/>
    <w:rsid w:val="00451477"/>
    <w:rsid w:val="00460FCD"/>
    <w:rsid w:val="004610A1"/>
    <w:rsid w:val="004757FE"/>
    <w:rsid w:val="00484FE8"/>
    <w:rsid w:val="004971C3"/>
    <w:rsid w:val="004A4253"/>
    <w:rsid w:val="004B07C8"/>
    <w:rsid w:val="004B4B4A"/>
    <w:rsid w:val="004C3EDB"/>
    <w:rsid w:val="004C4EA2"/>
    <w:rsid w:val="004C6516"/>
    <w:rsid w:val="004E24D1"/>
    <w:rsid w:val="004E51EE"/>
    <w:rsid w:val="004F30F1"/>
    <w:rsid w:val="004F5B0B"/>
    <w:rsid w:val="00511229"/>
    <w:rsid w:val="00511366"/>
    <w:rsid w:val="00511661"/>
    <w:rsid w:val="00523C87"/>
    <w:rsid w:val="005247E8"/>
    <w:rsid w:val="00533037"/>
    <w:rsid w:val="0053415A"/>
    <w:rsid w:val="00534979"/>
    <w:rsid w:val="00536E11"/>
    <w:rsid w:val="005427EB"/>
    <w:rsid w:val="005575FA"/>
    <w:rsid w:val="00557E67"/>
    <w:rsid w:val="00565544"/>
    <w:rsid w:val="00571DBF"/>
    <w:rsid w:val="00593E6C"/>
    <w:rsid w:val="005A46B0"/>
    <w:rsid w:val="005C4B36"/>
    <w:rsid w:val="005D00C1"/>
    <w:rsid w:val="005E474B"/>
    <w:rsid w:val="005E50EA"/>
    <w:rsid w:val="00601233"/>
    <w:rsid w:val="00606A61"/>
    <w:rsid w:val="00613D04"/>
    <w:rsid w:val="00615792"/>
    <w:rsid w:val="00620D36"/>
    <w:rsid w:val="00636334"/>
    <w:rsid w:val="00641F33"/>
    <w:rsid w:val="00650446"/>
    <w:rsid w:val="00651C1B"/>
    <w:rsid w:val="00663727"/>
    <w:rsid w:val="0066541C"/>
    <w:rsid w:val="0066566C"/>
    <w:rsid w:val="00667984"/>
    <w:rsid w:val="006717CE"/>
    <w:rsid w:val="00675A0D"/>
    <w:rsid w:val="006805F1"/>
    <w:rsid w:val="006925B6"/>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60FB0"/>
    <w:rsid w:val="0076480B"/>
    <w:rsid w:val="00770C9B"/>
    <w:rsid w:val="00780F93"/>
    <w:rsid w:val="0078666F"/>
    <w:rsid w:val="00793948"/>
    <w:rsid w:val="00793C7E"/>
    <w:rsid w:val="007B1AFA"/>
    <w:rsid w:val="007C4750"/>
    <w:rsid w:val="007C723A"/>
    <w:rsid w:val="007D2783"/>
    <w:rsid w:val="007F3D26"/>
    <w:rsid w:val="007F578D"/>
    <w:rsid w:val="008012A1"/>
    <w:rsid w:val="00806957"/>
    <w:rsid w:val="008078E8"/>
    <w:rsid w:val="00810C00"/>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01D"/>
    <w:rsid w:val="008A4F74"/>
    <w:rsid w:val="008A63B4"/>
    <w:rsid w:val="008A7E95"/>
    <w:rsid w:val="008B15CC"/>
    <w:rsid w:val="008B1985"/>
    <w:rsid w:val="008B3031"/>
    <w:rsid w:val="008B43F1"/>
    <w:rsid w:val="008D2B56"/>
    <w:rsid w:val="008D5CDE"/>
    <w:rsid w:val="008E5CE4"/>
    <w:rsid w:val="008F4867"/>
    <w:rsid w:val="009011E1"/>
    <w:rsid w:val="00902396"/>
    <w:rsid w:val="00902F26"/>
    <w:rsid w:val="00912F70"/>
    <w:rsid w:val="0091431A"/>
    <w:rsid w:val="009247BA"/>
    <w:rsid w:val="00936261"/>
    <w:rsid w:val="009403E1"/>
    <w:rsid w:val="00952CFC"/>
    <w:rsid w:val="00963139"/>
    <w:rsid w:val="009744D4"/>
    <w:rsid w:val="00986A63"/>
    <w:rsid w:val="00993913"/>
    <w:rsid w:val="009A1981"/>
    <w:rsid w:val="009D1BC2"/>
    <w:rsid w:val="009D3579"/>
    <w:rsid w:val="009D6720"/>
    <w:rsid w:val="009E2299"/>
    <w:rsid w:val="009F03D9"/>
    <w:rsid w:val="009F3DD2"/>
    <w:rsid w:val="009F5659"/>
    <w:rsid w:val="00A01428"/>
    <w:rsid w:val="00A01BC2"/>
    <w:rsid w:val="00A05F29"/>
    <w:rsid w:val="00A35BD1"/>
    <w:rsid w:val="00A41332"/>
    <w:rsid w:val="00A46B9D"/>
    <w:rsid w:val="00A559AA"/>
    <w:rsid w:val="00A64C17"/>
    <w:rsid w:val="00A7404E"/>
    <w:rsid w:val="00A7565E"/>
    <w:rsid w:val="00A77E9A"/>
    <w:rsid w:val="00A80FF3"/>
    <w:rsid w:val="00A910E7"/>
    <w:rsid w:val="00A9552C"/>
    <w:rsid w:val="00A96557"/>
    <w:rsid w:val="00AA08D1"/>
    <w:rsid w:val="00AD7743"/>
    <w:rsid w:val="00AE1D73"/>
    <w:rsid w:val="00AE63D4"/>
    <w:rsid w:val="00AF1248"/>
    <w:rsid w:val="00B052B2"/>
    <w:rsid w:val="00B36E32"/>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C02ECB"/>
    <w:rsid w:val="00C05CE6"/>
    <w:rsid w:val="00C105E0"/>
    <w:rsid w:val="00C206A3"/>
    <w:rsid w:val="00C25029"/>
    <w:rsid w:val="00C33FC0"/>
    <w:rsid w:val="00C34D52"/>
    <w:rsid w:val="00C41FFA"/>
    <w:rsid w:val="00C4269E"/>
    <w:rsid w:val="00C45615"/>
    <w:rsid w:val="00C72958"/>
    <w:rsid w:val="00C73B85"/>
    <w:rsid w:val="00C76561"/>
    <w:rsid w:val="00C87FD8"/>
    <w:rsid w:val="00CA4DFA"/>
    <w:rsid w:val="00CB21F8"/>
    <w:rsid w:val="00CB2F22"/>
    <w:rsid w:val="00CB75F0"/>
    <w:rsid w:val="00CD6E93"/>
    <w:rsid w:val="00CE06F9"/>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3050A"/>
    <w:rsid w:val="00E322B7"/>
    <w:rsid w:val="00E32CAB"/>
    <w:rsid w:val="00E62F9B"/>
    <w:rsid w:val="00E634E8"/>
    <w:rsid w:val="00E91174"/>
    <w:rsid w:val="00E93898"/>
    <w:rsid w:val="00E9501E"/>
    <w:rsid w:val="00EA2053"/>
    <w:rsid w:val="00EA5E5B"/>
    <w:rsid w:val="00EB59C2"/>
    <w:rsid w:val="00EB6043"/>
    <w:rsid w:val="00ED585E"/>
    <w:rsid w:val="00ED69EB"/>
    <w:rsid w:val="00ED7237"/>
    <w:rsid w:val="00EF5FAD"/>
    <w:rsid w:val="00F05A62"/>
    <w:rsid w:val="00F115CD"/>
    <w:rsid w:val="00F122DA"/>
    <w:rsid w:val="00F205E5"/>
    <w:rsid w:val="00F22499"/>
    <w:rsid w:val="00F25CFB"/>
    <w:rsid w:val="00F36B1A"/>
    <w:rsid w:val="00F41B0F"/>
    <w:rsid w:val="00F41D35"/>
    <w:rsid w:val="00F45B7B"/>
    <w:rsid w:val="00F51744"/>
    <w:rsid w:val="00F771D3"/>
    <w:rsid w:val="00F97667"/>
    <w:rsid w:val="00FA1E47"/>
    <w:rsid w:val="00FB233F"/>
    <w:rsid w:val="00FC1CAB"/>
    <w:rsid w:val="00FD20DD"/>
    <w:rsid w:val="00FD4B5A"/>
    <w:rsid w:val="00FD53CC"/>
    <w:rsid w:val="00FD7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77F64"/>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B67C54"/>
    <w:rPr>
      <w:sz w:val="20"/>
      <w:szCs w:val="20"/>
      <w:lang w:eastAsia="lv-LV"/>
    </w:rPr>
  </w:style>
  <w:style w:type="character" w:customStyle="1" w:styleId="FootnoteTextChar">
    <w:name w:val="Footnote Text Char"/>
    <w:basedOn w:val="DefaultParagraphFont"/>
    <w:link w:val="FootnoteText"/>
    <w:uiPriority w:val="99"/>
    <w:rsid w:val="00B67C54"/>
    <w:rPr>
      <w:rFonts w:ascii="Times New Roman" w:eastAsia="Times New Roman" w:hAnsi="Times New Roman" w:cs="Times New Roman"/>
      <w:sz w:val="20"/>
      <w:szCs w:val="20"/>
      <w:lang w:val="en-US" w:eastAsia="lv-LV"/>
    </w:rPr>
  </w:style>
  <w:style w:type="character" w:styleId="FootnoteReference">
    <w:name w:val="footnote reference"/>
    <w:aliases w:val="Footnote symbol,Footnote Reference Number"/>
    <w:basedOn w:val="DefaultParagraphFont"/>
    <w:uiPriority w:val="99"/>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style>
  <w:style w:type="character" w:customStyle="1" w:styleId="FooterChar">
    <w:name w:val="Footer Char"/>
    <w:basedOn w:val="DefaultParagraphFont"/>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jpg@01D34DA2.DA2BCA6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1BEE5-AEFE-4940-8082-34F272CE6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10</Pages>
  <Words>13415</Words>
  <Characters>7648</Characters>
  <Application>Microsoft Office Word</Application>
  <DocSecurity>0</DocSecurity>
  <Lines>63</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Aiga Graudina</cp:lastModifiedBy>
  <cp:revision>7</cp:revision>
  <cp:lastPrinted>2018-07-17T06:44:00Z</cp:lastPrinted>
  <dcterms:created xsi:type="dcterms:W3CDTF">2018-07-16T11:30:00Z</dcterms:created>
  <dcterms:modified xsi:type="dcterms:W3CDTF">2018-07-17T06:46:00Z</dcterms:modified>
</cp:coreProperties>
</file>